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5A1" w:rsidRPr="003425A1" w:rsidRDefault="003425A1" w:rsidP="003425A1">
      <w:pPr>
        <w:spacing w:after="0"/>
        <w:jc w:val="center"/>
        <w:rPr>
          <w:b/>
        </w:rPr>
      </w:pPr>
      <w:r w:rsidRPr="003425A1">
        <w:rPr>
          <w:b/>
        </w:rPr>
        <w:t xml:space="preserve">Testimony </w:t>
      </w:r>
      <w:r w:rsidR="002612DA">
        <w:rPr>
          <w:b/>
        </w:rPr>
        <w:t xml:space="preserve">Submitted to </w:t>
      </w:r>
      <w:r w:rsidRPr="003425A1">
        <w:rPr>
          <w:b/>
        </w:rPr>
        <w:t>the American Bankruptcy Institute Commission</w:t>
      </w:r>
    </w:p>
    <w:p w:rsidR="003425A1" w:rsidRDefault="003425A1" w:rsidP="003425A1">
      <w:pPr>
        <w:spacing w:after="0"/>
        <w:jc w:val="center"/>
        <w:rPr>
          <w:b/>
        </w:rPr>
      </w:pPr>
      <w:r w:rsidRPr="003425A1">
        <w:rPr>
          <w:b/>
        </w:rPr>
        <w:t>To Study the Reform of Chapter 11</w:t>
      </w:r>
    </w:p>
    <w:p w:rsidR="003425A1" w:rsidRDefault="003425A1" w:rsidP="003425A1">
      <w:pPr>
        <w:spacing w:after="0"/>
        <w:jc w:val="center"/>
        <w:rPr>
          <w:b/>
        </w:rPr>
      </w:pPr>
    </w:p>
    <w:p w:rsidR="003425A1" w:rsidRDefault="003425A1" w:rsidP="003425A1">
      <w:pPr>
        <w:spacing w:after="0"/>
        <w:jc w:val="center"/>
        <w:rPr>
          <w:b/>
        </w:rPr>
      </w:pPr>
      <w:r>
        <w:rPr>
          <w:b/>
        </w:rPr>
        <w:t>Anne Lawton</w:t>
      </w:r>
    </w:p>
    <w:p w:rsidR="003425A1" w:rsidRDefault="003425A1" w:rsidP="003425A1">
      <w:pPr>
        <w:spacing w:after="0"/>
        <w:jc w:val="center"/>
        <w:rPr>
          <w:b/>
        </w:rPr>
      </w:pPr>
      <w:r>
        <w:rPr>
          <w:b/>
        </w:rPr>
        <w:t>Professor of Law, Michigan State University College of Law</w:t>
      </w:r>
    </w:p>
    <w:p w:rsidR="003425A1" w:rsidRDefault="003425A1" w:rsidP="003425A1">
      <w:pPr>
        <w:spacing w:after="0"/>
        <w:jc w:val="center"/>
        <w:rPr>
          <w:b/>
        </w:rPr>
      </w:pPr>
      <w:r>
        <w:rPr>
          <w:b/>
        </w:rPr>
        <w:t>November 1, 2013</w:t>
      </w:r>
    </w:p>
    <w:p w:rsidR="002612DA" w:rsidRDefault="002612DA" w:rsidP="003425A1">
      <w:pPr>
        <w:spacing w:after="0"/>
        <w:jc w:val="center"/>
        <w:rPr>
          <w:b/>
        </w:rPr>
      </w:pPr>
    </w:p>
    <w:p w:rsidR="002612DA" w:rsidRDefault="002612DA" w:rsidP="002612DA">
      <w:pPr>
        <w:spacing w:after="0"/>
      </w:pPr>
    </w:p>
    <w:p w:rsidR="002612DA" w:rsidRDefault="002612DA" w:rsidP="002612DA">
      <w:pPr>
        <w:spacing w:after="0"/>
      </w:pPr>
      <w:r>
        <w:t>My name is Anne Lawton, and I am a law professor at Michigan State University College of Law. My scholarly work focuses on the predictors of chapter 11 success, as measured by plan confirmation rates, and on the impact of BAPCPA’s changes on chapter 11 debtors, in particular those qualifying as small business debtors under the Code.</w:t>
      </w:r>
    </w:p>
    <w:p w:rsidR="002612DA" w:rsidRDefault="002612DA" w:rsidP="002612DA">
      <w:pPr>
        <w:spacing w:after="0"/>
      </w:pPr>
    </w:p>
    <w:p w:rsidR="009832BB" w:rsidRDefault="002612DA" w:rsidP="002612DA">
      <w:pPr>
        <w:spacing w:after="0"/>
      </w:pPr>
      <w:r>
        <w:t xml:space="preserve">My </w:t>
      </w:r>
      <w:r w:rsidR="009832BB">
        <w:t xml:space="preserve">scholarly </w:t>
      </w:r>
      <w:r>
        <w:t>work is empirically based</w:t>
      </w:r>
      <w:r w:rsidR="009832BB">
        <w:t xml:space="preserve"> and largely focused on BAPCPA’s “small business debtor” reforms</w:t>
      </w:r>
      <w:r>
        <w:t xml:space="preserve">. In order to study the effects of BAPCPA, I </w:t>
      </w:r>
      <w:r w:rsidR="009832BB">
        <w:t>created two large datasets. The first contains all chapter 11 cases filed in calendar year 2004; there are 10,1</w:t>
      </w:r>
      <w:r w:rsidR="004A02BD">
        <w:t>63</w:t>
      </w:r>
      <w:r w:rsidR="009832BB">
        <w:t xml:space="preserve"> cases in that dataset. The second contains all chapter 11 cases filed in calendar year 2007; that dataset has 6,</w:t>
      </w:r>
      <w:r w:rsidR="004A02BD">
        <w:t>376</w:t>
      </w:r>
      <w:r w:rsidR="009832BB">
        <w:t xml:space="preserve"> cases in it.  I drew a 12% random sample from each dataset. </w:t>
      </w:r>
    </w:p>
    <w:p w:rsidR="009832BB" w:rsidRDefault="009832BB" w:rsidP="002612DA">
      <w:pPr>
        <w:spacing w:after="0"/>
      </w:pPr>
    </w:p>
    <w:p w:rsidR="009832BB" w:rsidRDefault="009832BB" w:rsidP="002612DA">
      <w:pPr>
        <w:spacing w:after="0"/>
      </w:pPr>
      <w:r>
        <w:t xml:space="preserve">Depending on the hypothesis under investigation, the </w:t>
      </w:r>
      <w:r w:rsidR="00E677C6">
        <w:t xml:space="preserve">number of cases in the </w:t>
      </w:r>
      <w:r>
        <w:t xml:space="preserve">2004 random sample </w:t>
      </w:r>
      <w:r w:rsidR="00E677C6">
        <w:t>ranges from 782 to 799</w:t>
      </w:r>
      <w:r>
        <w:t xml:space="preserve">.  I am in the process of coding the cases in the 2007 random sample. </w:t>
      </w:r>
    </w:p>
    <w:p w:rsidR="009832BB" w:rsidRDefault="009832BB" w:rsidP="002612DA">
      <w:pPr>
        <w:spacing w:after="0"/>
      </w:pPr>
    </w:p>
    <w:p w:rsidR="009832BB" w:rsidRDefault="009832BB" w:rsidP="002612DA">
      <w:pPr>
        <w:spacing w:after="0"/>
      </w:pPr>
      <w:r>
        <w:t xml:space="preserve">The overarching theme of my work is that reform should be undertaken only if the reform effort is informed by well-defined problems and well-articulated objectives. Otherwise, we </w:t>
      </w:r>
      <w:r w:rsidR="004A02BD">
        <w:t xml:space="preserve">end up solving problems that, in fact, are not actually problems, and </w:t>
      </w:r>
      <w:r>
        <w:t xml:space="preserve">creating solutions that </w:t>
      </w:r>
      <w:r w:rsidR="00E677C6">
        <w:t>do</w:t>
      </w:r>
      <w:r>
        <w:t xml:space="preserve"> not fit th</w:t>
      </w:r>
      <w:r w:rsidR="00E677C6">
        <w:t>e</w:t>
      </w:r>
      <w:r>
        <w:t xml:space="preserve"> problems that do exist. </w:t>
      </w:r>
    </w:p>
    <w:p w:rsidR="009832BB" w:rsidRDefault="009832BB" w:rsidP="002612DA">
      <w:pPr>
        <w:spacing w:after="0"/>
      </w:pPr>
    </w:p>
    <w:p w:rsidR="00AE56EB" w:rsidRDefault="00AE56EB" w:rsidP="00AE56EB">
      <w:pPr>
        <w:rPr>
          <w:rFonts w:cs="Times New Roman"/>
          <w:color w:val="000000" w:themeColor="text1"/>
        </w:rPr>
      </w:pPr>
      <w:r>
        <w:rPr>
          <w:rFonts w:cs="Times New Roman"/>
          <w:color w:val="000000" w:themeColor="text1"/>
        </w:rPr>
        <w:t xml:space="preserve">One or both of the following two objectives underlie not only BAPCPA’s small-business reforms but also the various proposals </w:t>
      </w:r>
      <w:r w:rsidR="00E677C6">
        <w:rPr>
          <w:rFonts w:cs="Times New Roman"/>
          <w:color w:val="000000" w:themeColor="text1"/>
        </w:rPr>
        <w:t>suggested in this testimony</w:t>
      </w:r>
      <w:r>
        <w:rPr>
          <w:rFonts w:cs="Times New Roman"/>
          <w:color w:val="000000" w:themeColor="text1"/>
        </w:rPr>
        <w:t>. The first objective is the expeditious exit from chapter 11 of the so-called “dead-on-arrival” debtor.</w:t>
      </w:r>
      <w:r>
        <w:rPr>
          <w:rStyle w:val="FootnoteReference"/>
          <w:rFonts w:cs="Times New Roman"/>
          <w:color w:val="000000" w:themeColor="text1"/>
        </w:rPr>
        <w:footnoteReference w:id="1"/>
      </w:r>
      <w:r>
        <w:rPr>
          <w:rFonts w:cs="Times New Roman"/>
          <w:color w:val="000000" w:themeColor="text1"/>
        </w:rPr>
        <w:t xml:space="preserve">  The second is the reduction in chapter 11’s complexity and cost so as to improve plan-confirmation rates for those small business debtors with reasonable prospects for reorganization.</w:t>
      </w:r>
      <w:r>
        <w:rPr>
          <w:rStyle w:val="FootnoteReference"/>
          <w:rFonts w:cs="Times New Roman"/>
          <w:color w:val="000000" w:themeColor="text1"/>
        </w:rPr>
        <w:footnoteReference w:id="2"/>
      </w:r>
      <w:r>
        <w:rPr>
          <w:rFonts w:cs="Times New Roman"/>
          <w:color w:val="000000" w:themeColor="text1"/>
        </w:rPr>
        <w:t xml:space="preserve"> </w:t>
      </w:r>
      <w:r w:rsidR="00E677C6">
        <w:rPr>
          <w:rFonts w:cs="Times New Roman"/>
          <w:color w:val="000000" w:themeColor="text1"/>
        </w:rPr>
        <w:t xml:space="preserve"> My</w:t>
      </w:r>
      <w:r>
        <w:rPr>
          <w:rFonts w:cs="Times New Roman"/>
          <w:color w:val="000000" w:themeColor="text1"/>
        </w:rPr>
        <w:t xml:space="preserve"> recommendations and analysis, therefore, are framed in terms of these two objectives. </w:t>
      </w:r>
    </w:p>
    <w:p w:rsidR="00AE56EB" w:rsidRDefault="00AE56EB" w:rsidP="00AE56EB">
      <w:pPr>
        <w:rPr>
          <w:rFonts w:cs="Times New Roman"/>
          <w:color w:val="000000" w:themeColor="text1"/>
        </w:rPr>
      </w:pPr>
    </w:p>
    <w:p w:rsidR="00AE56EB" w:rsidRDefault="00AE56EB" w:rsidP="00AE56EB">
      <w:pPr>
        <w:rPr>
          <w:rFonts w:cs="Times New Roman"/>
          <w:color w:val="000000" w:themeColor="text1"/>
        </w:rPr>
      </w:pPr>
      <w:r>
        <w:rPr>
          <w:rFonts w:cs="Times New Roman"/>
          <w:color w:val="000000" w:themeColor="text1"/>
        </w:rPr>
        <w:lastRenderedPageBreak/>
        <w:t xml:space="preserve">Before proceeding to a detailed examination of </w:t>
      </w:r>
      <w:r w:rsidR="00E677C6">
        <w:rPr>
          <w:rFonts w:cs="Times New Roman"/>
          <w:color w:val="000000" w:themeColor="text1"/>
        </w:rPr>
        <w:t xml:space="preserve">my suggestions for reform, </w:t>
      </w:r>
      <w:r>
        <w:rPr>
          <w:rFonts w:cs="Times New Roman"/>
          <w:color w:val="000000" w:themeColor="text1"/>
        </w:rPr>
        <w:t>it is necessary to ask:  what do we know about chapter 11 small business debtors?  Sm</w:t>
      </w:r>
      <w:r w:rsidRPr="00DE60DD">
        <w:rPr>
          <w:rFonts w:cs="Times New Roman"/>
          <w:color w:val="000000" w:themeColor="text1"/>
        </w:rPr>
        <w:t>all business debtors file the majority of chapter 11 cases.</w:t>
      </w:r>
      <w:r>
        <w:rPr>
          <w:rStyle w:val="FootnoteReference"/>
          <w:rFonts w:cs="Times New Roman"/>
          <w:color w:val="000000" w:themeColor="text1"/>
        </w:rPr>
        <w:footnoteReference w:id="3"/>
      </w:r>
      <w:r w:rsidRPr="00DE60DD">
        <w:rPr>
          <w:rFonts w:cs="Times New Roman"/>
          <w:color w:val="000000" w:themeColor="text1"/>
        </w:rPr>
        <w:t xml:space="preserve"> </w:t>
      </w:r>
      <w:r>
        <w:rPr>
          <w:rFonts w:cs="Times New Roman"/>
          <w:color w:val="000000" w:themeColor="text1"/>
        </w:rPr>
        <w:t>Yet, for some time now, we have known that outcomes for small business debtors, i.e., plan-confirmation rates, are quite poor.</w:t>
      </w:r>
      <w:r>
        <w:rPr>
          <w:rStyle w:val="FootnoteReference"/>
          <w:rFonts w:cs="Times New Roman"/>
          <w:color w:val="000000" w:themeColor="text1"/>
        </w:rPr>
        <w:footnoteReference w:id="4"/>
      </w:r>
      <w:r>
        <w:rPr>
          <w:rFonts w:cs="Times New Roman"/>
          <w:color w:val="000000" w:themeColor="text1"/>
        </w:rPr>
        <w:t xml:space="preserve">  </w:t>
      </w:r>
    </w:p>
    <w:p w:rsidR="00AE56EB" w:rsidRPr="00DE60DD" w:rsidRDefault="00AE56EB" w:rsidP="00AE56EB">
      <w:pPr>
        <w:rPr>
          <w:rFonts w:cs="Times New Roman"/>
          <w:color w:val="000000" w:themeColor="text1"/>
        </w:rPr>
      </w:pPr>
      <w:r w:rsidRPr="00DE60DD">
        <w:rPr>
          <w:rFonts w:cs="Times New Roman"/>
          <w:color w:val="000000" w:themeColor="text1"/>
        </w:rPr>
        <w:t xml:space="preserve">First, debtors with larger liabilities confirm plans at significantly higher rates than do debtors with smaller liabilities.  A recent study of chapter 11 cases filed in 2004 (the “Lawton Triage </w:t>
      </w:r>
      <w:r>
        <w:rPr>
          <w:rFonts w:cs="Times New Roman"/>
          <w:color w:val="000000" w:themeColor="text1"/>
        </w:rPr>
        <w:t>study</w:t>
      </w:r>
      <w:r w:rsidRPr="00DE60DD">
        <w:rPr>
          <w:rFonts w:cs="Times New Roman"/>
          <w:color w:val="000000" w:themeColor="text1"/>
        </w:rPr>
        <w:t>”) found that 49% of debtors with liabilities in excess of $2 million – the liability cutoff for small businesses in 2004 – confirmed plans, while only 27% of debtors with liabilities of $2 million or less did so.</w:t>
      </w:r>
      <w:r>
        <w:rPr>
          <w:rStyle w:val="FootnoteReference"/>
          <w:rFonts w:cs="Times New Roman"/>
          <w:color w:val="000000" w:themeColor="text1"/>
        </w:rPr>
        <w:footnoteReference w:id="5"/>
      </w:r>
      <w:r w:rsidRPr="00DE60DD">
        <w:rPr>
          <w:rFonts w:cs="Times New Roman"/>
          <w:color w:val="000000" w:themeColor="text1"/>
        </w:rPr>
        <w:t xml:space="preserve">  Second, </w:t>
      </w:r>
      <w:r>
        <w:rPr>
          <w:rFonts w:cs="Times New Roman"/>
          <w:color w:val="000000" w:themeColor="text1"/>
        </w:rPr>
        <w:t xml:space="preserve">the Lawton Triage study also found that </w:t>
      </w:r>
      <w:r w:rsidRPr="00DE60DD">
        <w:rPr>
          <w:rFonts w:cs="Times New Roman"/>
          <w:color w:val="000000" w:themeColor="text1"/>
        </w:rPr>
        <w:t>62% of cases with committees confirmed plans while only 27% of those without committees did so.</w:t>
      </w:r>
      <w:r>
        <w:rPr>
          <w:rStyle w:val="FootnoteReference"/>
          <w:rFonts w:cs="Times New Roman"/>
          <w:color w:val="000000" w:themeColor="text1"/>
        </w:rPr>
        <w:footnoteReference w:id="6"/>
      </w:r>
      <w:r w:rsidRPr="00DE60DD">
        <w:rPr>
          <w:rFonts w:cs="Times New Roman"/>
          <w:color w:val="000000" w:themeColor="text1"/>
        </w:rPr>
        <w:t xml:space="preserve"> </w:t>
      </w:r>
    </w:p>
    <w:p w:rsidR="00AE56EB" w:rsidRDefault="00AE56EB" w:rsidP="00AE56EB">
      <w:pPr>
        <w:rPr>
          <w:rFonts w:eastAsia="Times New Roman" w:cs="Times New Roman"/>
        </w:rPr>
      </w:pPr>
      <w:r>
        <w:rPr>
          <w:rFonts w:eastAsia="Times New Roman" w:cs="Times New Roman"/>
        </w:rPr>
        <w:t>If only these two criteria – creditor committee formation and total liability size – are used to determine small business status, then more than 60% of chapter 11 debtors are small businesses.</w:t>
      </w:r>
      <w:r>
        <w:rPr>
          <w:rStyle w:val="FootnoteReference"/>
          <w:rFonts w:eastAsia="Times New Roman" w:cs="Times New Roman"/>
        </w:rPr>
        <w:footnoteReference w:id="7"/>
      </w:r>
      <w:r>
        <w:rPr>
          <w:rFonts w:eastAsia="Times New Roman" w:cs="Times New Roman"/>
        </w:rPr>
        <w:t xml:space="preserve"> Yet, another recent study of chapter 11 cases filed in 2004 (the “Lawton ABI study”) found that only 26% of small business debtors confirmed plans, while approximately 48% of non-small business debtors did so.</w:t>
      </w:r>
      <w:r>
        <w:rPr>
          <w:rStyle w:val="FootnoteReference"/>
          <w:rFonts w:eastAsia="Times New Roman" w:cs="Times New Roman"/>
        </w:rPr>
        <w:footnoteReference w:id="8"/>
      </w:r>
      <w:r>
        <w:rPr>
          <w:rFonts w:eastAsia="Times New Roman" w:cs="Times New Roman"/>
        </w:rPr>
        <w:t xml:space="preserve"> This difference in confirmation rates was statistically significant.</w:t>
      </w:r>
      <w:r>
        <w:rPr>
          <w:rStyle w:val="FootnoteReference"/>
          <w:rFonts w:eastAsia="Times New Roman" w:cs="Times New Roman"/>
        </w:rPr>
        <w:footnoteReference w:id="9"/>
      </w:r>
    </w:p>
    <w:p w:rsidR="00AE56EB" w:rsidRDefault="00AE56EB" w:rsidP="00AE56EB">
      <w:pPr>
        <w:rPr>
          <w:rFonts w:cs="Times New Roman"/>
          <w:color w:val="000000" w:themeColor="text1"/>
        </w:rPr>
      </w:pPr>
      <w:r>
        <w:rPr>
          <w:rFonts w:cs="Times New Roman"/>
          <w:color w:val="000000" w:themeColor="text1"/>
        </w:rPr>
        <w:t xml:space="preserve">What is not clear, however, is </w:t>
      </w:r>
      <w:r>
        <w:rPr>
          <w:rFonts w:cs="Times New Roman"/>
          <w:i/>
          <w:color w:val="000000" w:themeColor="text1"/>
        </w:rPr>
        <w:t xml:space="preserve">why </w:t>
      </w:r>
      <w:r>
        <w:rPr>
          <w:rFonts w:cs="Times New Roman"/>
          <w:color w:val="000000" w:themeColor="text1"/>
        </w:rPr>
        <w:t xml:space="preserve">small business debtors fare so poorly in chapter 11.  With BAPCPA, Congress instituted a number of small-business reforms without first examining why such a disparity in outcomes exists between small and non-small business debtors.  The mere fact of disparate outcomes drove the reform effort. But, reforming the Code only makes sense if it is the </w:t>
      </w:r>
      <w:r w:rsidRPr="0086353A">
        <w:rPr>
          <w:rFonts w:cs="Times New Roman"/>
          <w:i/>
          <w:color w:val="000000" w:themeColor="text1"/>
        </w:rPr>
        <w:t>Code</w:t>
      </w:r>
      <w:r>
        <w:rPr>
          <w:rFonts w:cs="Times New Roman"/>
          <w:color w:val="000000" w:themeColor="text1"/>
        </w:rPr>
        <w:t xml:space="preserve"> that creates impediments to success for small business debtors. If a significant failure rate is inevitable for small business enterprises, then reform may do little besides waste time, money, and effort. </w:t>
      </w:r>
    </w:p>
    <w:p w:rsidR="004A02BD" w:rsidRDefault="00343CBE" w:rsidP="004A02BD">
      <w:pPr>
        <w:rPr>
          <w:rFonts w:cs="Times New Roman"/>
          <w:color w:val="000000" w:themeColor="text1"/>
        </w:rPr>
      </w:pPr>
      <w:r>
        <w:rPr>
          <w:rFonts w:cs="Times New Roman"/>
          <w:color w:val="000000" w:themeColor="text1"/>
        </w:rPr>
        <w:t>My testimony is divided into t</w:t>
      </w:r>
      <w:r w:rsidR="004A02BD">
        <w:rPr>
          <w:rFonts w:cs="Times New Roman"/>
          <w:color w:val="000000" w:themeColor="text1"/>
        </w:rPr>
        <w:t>wo parts</w:t>
      </w:r>
      <w:r>
        <w:rPr>
          <w:rFonts w:cs="Times New Roman"/>
          <w:color w:val="000000" w:themeColor="text1"/>
        </w:rPr>
        <w:t xml:space="preserve">. </w:t>
      </w:r>
      <w:r w:rsidR="004A02BD">
        <w:rPr>
          <w:rFonts w:cs="Times New Roman"/>
          <w:color w:val="000000" w:themeColor="text1"/>
        </w:rPr>
        <w:t xml:space="preserve">In Part I, I propose simplifying the Code’s current small business debtor definition.  The proposal is based on the results of my analysis of the 2004 random sample data. If Congress decides that some or all of BAPCPA’s reform efforts are worth keeping, then it makes sense to make the identification of small and non-small business debtors an easier </w:t>
      </w:r>
      <w:r w:rsidR="004A02BD">
        <w:rPr>
          <w:rFonts w:cs="Times New Roman"/>
          <w:color w:val="000000" w:themeColor="text1"/>
        </w:rPr>
        <w:lastRenderedPageBreak/>
        <w:t xml:space="preserve">task.  The current definition is loaded down with unnecessary qualifiers that accomplish little at potentially great cost. </w:t>
      </w:r>
    </w:p>
    <w:p w:rsidR="00680FBA" w:rsidRDefault="00343CBE" w:rsidP="00680FBA">
      <w:pPr>
        <w:spacing w:after="0"/>
        <w:rPr>
          <w:rFonts w:cs="Times New Roman"/>
          <w:color w:val="000000" w:themeColor="text1"/>
        </w:rPr>
      </w:pPr>
      <w:r>
        <w:rPr>
          <w:rFonts w:cs="Times New Roman"/>
          <w:color w:val="000000" w:themeColor="text1"/>
        </w:rPr>
        <w:t xml:space="preserve">In Part </w:t>
      </w:r>
      <w:r w:rsidR="004A02BD">
        <w:rPr>
          <w:rFonts w:cs="Times New Roman"/>
          <w:color w:val="000000" w:themeColor="text1"/>
        </w:rPr>
        <w:t>I</w:t>
      </w:r>
      <w:r>
        <w:rPr>
          <w:rFonts w:cs="Times New Roman"/>
          <w:color w:val="000000" w:themeColor="text1"/>
        </w:rPr>
        <w:t>I, I present data</w:t>
      </w:r>
      <w:r w:rsidR="004A02BD">
        <w:rPr>
          <w:rFonts w:cs="Times New Roman"/>
          <w:color w:val="000000" w:themeColor="text1"/>
        </w:rPr>
        <w:t>, once again drawn</w:t>
      </w:r>
      <w:r>
        <w:rPr>
          <w:rFonts w:cs="Times New Roman"/>
          <w:color w:val="000000" w:themeColor="text1"/>
        </w:rPr>
        <w:t xml:space="preserve"> from the 2004 random sample</w:t>
      </w:r>
      <w:r w:rsidR="004A02BD">
        <w:rPr>
          <w:rFonts w:cs="Times New Roman"/>
          <w:color w:val="000000" w:themeColor="text1"/>
        </w:rPr>
        <w:t>,</w:t>
      </w:r>
      <w:r>
        <w:rPr>
          <w:rFonts w:cs="Times New Roman"/>
          <w:color w:val="000000" w:themeColor="text1"/>
        </w:rPr>
        <w:t xml:space="preserve"> about the average time </w:t>
      </w:r>
      <w:r w:rsidR="004A02BD">
        <w:rPr>
          <w:rFonts w:cs="Times New Roman"/>
          <w:color w:val="000000" w:themeColor="text1"/>
        </w:rPr>
        <w:t xml:space="preserve">to disposition – confirmation, conversion, or dismissal – for </w:t>
      </w:r>
      <w:r>
        <w:rPr>
          <w:rFonts w:cs="Times New Roman"/>
          <w:color w:val="000000" w:themeColor="text1"/>
        </w:rPr>
        <w:t xml:space="preserve">pre-BAPCPA </w:t>
      </w:r>
      <w:r w:rsidR="004A02BD">
        <w:rPr>
          <w:rFonts w:cs="Times New Roman"/>
          <w:color w:val="000000" w:themeColor="text1"/>
        </w:rPr>
        <w:t xml:space="preserve">chapter 11 </w:t>
      </w:r>
      <w:r>
        <w:rPr>
          <w:rFonts w:cs="Times New Roman"/>
          <w:color w:val="000000" w:themeColor="text1"/>
        </w:rPr>
        <w:t>cases</w:t>
      </w:r>
      <w:r w:rsidR="004A02BD">
        <w:rPr>
          <w:rFonts w:cs="Times New Roman"/>
          <w:color w:val="000000" w:themeColor="text1"/>
        </w:rPr>
        <w:t>.</w:t>
      </w:r>
      <w:r>
        <w:rPr>
          <w:rFonts w:cs="Times New Roman"/>
          <w:color w:val="000000" w:themeColor="text1"/>
        </w:rPr>
        <w:t xml:space="preserve">  I have not </w:t>
      </w:r>
      <w:r w:rsidR="004A02BD">
        <w:rPr>
          <w:rFonts w:cs="Times New Roman"/>
          <w:color w:val="000000" w:themeColor="text1"/>
        </w:rPr>
        <w:t xml:space="preserve">finished </w:t>
      </w:r>
      <w:r>
        <w:rPr>
          <w:rFonts w:cs="Times New Roman"/>
          <w:color w:val="000000" w:themeColor="text1"/>
        </w:rPr>
        <w:t>coding and analyzing the case</w:t>
      </w:r>
      <w:r w:rsidR="004A02BD">
        <w:rPr>
          <w:rFonts w:cs="Times New Roman"/>
          <w:color w:val="000000" w:themeColor="text1"/>
        </w:rPr>
        <w:t>s</w:t>
      </w:r>
      <w:r>
        <w:rPr>
          <w:rFonts w:cs="Times New Roman"/>
          <w:color w:val="000000" w:themeColor="text1"/>
        </w:rPr>
        <w:t xml:space="preserve"> from the 2007 random sample and, thus, cannot conclude that BAPCPA’s 300-day plan-proposal deadline for small business debtors did not significantly change the average time to disposition post-2005. Nonetheless, I can say that the 300-day plan-proposal deadline was a solution largely in search of a problem. Moreover, </w:t>
      </w:r>
      <w:r w:rsidR="00886584">
        <w:rPr>
          <w:rFonts w:cs="Times New Roman"/>
          <w:color w:val="000000" w:themeColor="text1"/>
        </w:rPr>
        <w:t>9</w:t>
      </w:r>
      <w:r w:rsidR="00E677C6">
        <w:rPr>
          <w:rFonts w:cs="Times New Roman"/>
          <w:color w:val="000000" w:themeColor="text1"/>
        </w:rPr>
        <w:t>9</w:t>
      </w:r>
      <w:r w:rsidR="00886584">
        <w:rPr>
          <w:rFonts w:cs="Times New Roman"/>
          <w:color w:val="000000" w:themeColor="text1"/>
        </w:rPr>
        <w:t xml:space="preserve">% of the small business debtors that did confirm a plan in 2004 would not have satisfied the </w:t>
      </w:r>
      <w:r>
        <w:rPr>
          <w:rFonts w:cs="Times New Roman"/>
          <w:color w:val="000000" w:themeColor="text1"/>
        </w:rPr>
        <w:t xml:space="preserve">45-day plan-confirmation deadline </w:t>
      </w:r>
      <w:r w:rsidR="00886584">
        <w:rPr>
          <w:rFonts w:cs="Times New Roman"/>
          <w:color w:val="000000" w:themeColor="text1"/>
        </w:rPr>
        <w:t xml:space="preserve">now </w:t>
      </w:r>
      <w:r w:rsidR="00680FBA">
        <w:rPr>
          <w:rFonts w:cs="Times New Roman"/>
          <w:color w:val="000000" w:themeColor="text1"/>
        </w:rPr>
        <w:t xml:space="preserve">codified </w:t>
      </w:r>
      <w:r>
        <w:rPr>
          <w:rFonts w:cs="Times New Roman"/>
          <w:color w:val="000000" w:themeColor="text1"/>
        </w:rPr>
        <w:t>at 11 U.S.C. §1129(e</w:t>
      </w:r>
      <w:r w:rsidR="00886584">
        <w:rPr>
          <w:rFonts w:cs="Times New Roman"/>
          <w:color w:val="000000" w:themeColor="text1"/>
        </w:rPr>
        <w:t>).</w:t>
      </w:r>
      <w:r w:rsidR="00680FBA">
        <w:rPr>
          <w:rFonts w:cs="Times New Roman"/>
          <w:color w:val="000000" w:themeColor="text1"/>
        </w:rPr>
        <w:t xml:space="preserve"> </w:t>
      </w:r>
    </w:p>
    <w:p w:rsidR="00680FBA" w:rsidRDefault="00680FBA" w:rsidP="00680FBA">
      <w:pPr>
        <w:spacing w:after="0"/>
        <w:rPr>
          <w:rFonts w:cs="Times New Roman"/>
          <w:b/>
          <w:color w:val="000000" w:themeColor="text1"/>
        </w:rPr>
      </w:pPr>
    </w:p>
    <w:p w:rsidR="004A02BD" w:rsidRDefault="009B775B" w:rsidP="0058443E">
      <w:pPr>
        <w:spacing w:after="0"/>
        <w:jc w:val="center"/>
        <w:rPr>
          <w:rFonts w:cs="Times New Roman"/>
          <w:b/>
          <w:color w:val="000000" w:themeColor="text1"/>
        </w:rPr>
      </w:pPr>
      <w:r>
        <w:rPr>
          <w:rFonts w:cs="Times New Roman"/>
          <w:b/>
          <w:color w:val="000000" w:themeColor="text1"/>
        </w:rPr>
        <w:t xml:space="preserve">Part I – </w:t>
      </w:r>
      <w:r w:rsidR="004A02BD">
        <w:rPr>
          <w:rFonts w:cs="Times New Roman"/>
          <w:b/>
          <w:color w:val="000000" w:themeColor="text1"/>
        </w:rPr>
        <w:t>A Proposal to Simplify the Small Business Debtor Definition</w:t>
      </w:r>
    </w:p>
    <w:p w:rsidR="00886584" w:rsidRDefault="00886584" w:rsidP="00886584">
      <w:pPr>
        <w:rPr>
          <w:rFonts w:cs="Times New Roman"/>
          <w:color w:val="000000" w:themeColor="text1"/>
        </w:rPr>
      </w:pPr>
      <w:r>
        <w:rPr>
          <w:rFonts w:cs="Times New Roman"/>
          <w:color w:val="000000" w:themeColor="text1"/>
        </w:rPr>
        <w:t xml:space="preserve">I propose simplifying </w:t>
      </w:r>
      <w:r w:rsidRPr="00733D4D">
        <w:rPr>
          <w:rFonts w:cs="Times New Roman"/>
          <w:color w:val="000000" w:themeColor="text1"/>
        </w:rPr>
        <w:t>the Code’s small business debtor definition by (1) deleting the requirement that debtors be engaged in business; (2) changing the computation of debtor liabilities; (3) including real property debtors as small business debtors; and (4) changing the Code’s language to exclude as a small business debtor any case in which a committee forms in North Carolina or Alabama, where the U.S. trustee does not operate.</w:t>
      </w:r>
      <w:r>
        <w:rPr>
          <w:rFonts w:cs="Times New Roman"/>
          <w:color w:val="000000" w:themeColor="text1"/>
        </w:rPr>
        <w:t xml:space="preserve"> </w:t>
      </w:r>
    </w:p>
    <w:p w:rsidR="00886584" w:rsidRDefault="00855963" w:rsidP="00886584">
      <w:pPr>
        <w:rPr>
          <w:rFonts w:cs="Times New Roman"/>
          <w:color w:val="000000" w:themeColor="text1"/>
        </w:rPr>
      </w:pPr>
      <w:r>
        <w:rPr>
          <w:rFonts w:cs="Times New Roman"/>
          <w:color w:val="000000" w:themeColor="text1"/>
        </w:rPr>
        <w:t>My</w:t>
      </w:r>
      <w:r w:rsidR="00886584">
        <w:rPr>
          <w:rFonts w:cs="Times New Roman"/>
          <w:color w:val="000000" w:themeColor="text1"/>
        </w:rPr>
        <w:t xml:space="preserve"> proposed change to the Code’s current definition reads as follows:</w:t>
      </w:r>
    </w:p>
    <w:p w:rsidR="00886584" w:rsidRPr="00E8059E" w:rsidRDefault="00886584" w:rsidP="00886584">
      <w:pPr>
        <w:pStyle w:val="Default"/>
        <w:ind w:firstLine="720"/>
        <w:rPr>
          <w:rFonts w:ascii="Garamond" w:hAnsi="Garamond"/>
        </w:rPr>
      </w:pPr>
      <w:r w:rsidRPr="00E8059E">
        <w:rPr>
          <w:rFonts w:ascii="Garamond" w:hAnsi="Garamond"/>
        </w:rPr>
        <w:t>The</w:t>
      </w:r>
      <w:r>
        <w:rPr>
          <w:rFonts w:ascii="Garamond" w:hAnsi="Garamond"/>
        </w:rPr>
        <w:t xml:space="preserve"> term "small business debtor"</w:t>
      </w:r>
      <w:r w:rsidRPr="00E8059E">
        <w:rPr>
          <w:rFonts w:ascii="Garamond" w:hAnsi="Garamond"/>
        </w:rPr>
        <w:t xml:space="preserve">– </w:t>
      </w:r>
    </w:p>
    <w:p w:rsidR="00886584" w:rsidRDefault="00886584" w:rsidP="00886584">
      <w:pPr>
        <w:pStyle w:val="Default"/>
        <w:rPr>
          <w:rFonts w:ascii="Garamond" w:hAnsi="Garamond"/>
        </w:rPr>
      </w:pPr>
    </w:p>
    <w:p w:rsidR="00886584" w:rsidRPr="00E8059E" w:rsidRDefault="00886584" w:rsidP="00886584">
      <w:pPr>
        <w:pStyle w:val="Default"/>
        <w:ind w:left="720"/>
        <w:rPr>
          <w:rFonts w:ascii="Garamond" w:hAnsi="Garamond"/>
        </w:rPr>
      </w:pPr>
      <w:r w:rsidRPr="00E8059E">
        <w:rPr>
          <w:rFonts w:ascii="Garamond" w:hAnsi="Garamond"/>
        </w:rPr>
        <w:t xml:space="preserve">(A) </w:t>
      </w:r>
      <w:r>
        <w:rPr>
          <w:rFonts w:ascii="Garamond" w:hAnsi="Garamond"/>
        </w:rPr>
        <w:t>s</w:t>
      </w:r>
      <w:r w:rsidRPr="00E8059E">
        <w:rPr>
          <w:rFonts w:ascii="Garamond" w:hAnsi="Garamond"/>
        </w:rPr>
        <w:t xml:space="preserve">ubject to subparagraph (B), means a person that has secured and unsecured debts as of the date of the petition or the order for relief in an amount not exceeding $2,490,925 for a case in which a committee of unsecured creditors has not been appointed under section 1102(a)(1) or the court has determined that the committee of unsecured creditors is not sufficiently active and representative to provide effective oversight of the debtor; and </w:t>
      </w:r>
    </w:p>
    <w:p w:rsidR="00886584" w:rsidRPr="00E8059E" w:rsidRDefault="00886584" w:rsidP="00886584">
      <w:pPr>
        <w:pStyle w:val="Default"/>
        <w:rPr>
          <w:rFonts w:ascii="Garamond" w:hAnsi="Garamond"/>
        </w:rPr>
      </w:pPr>
    </w:p>
    <w:p w:rsidR="00886584" w:rsidRPr="00E8059E" w:rsidRDefault="00886584" w:rsidP="00886584">
      <w:pPr>
        <w:pStyle w:val="Default"/>
        <w:ind w:left="720"/>
        <w:rPr>
          <w:rFonts w:ascii="Garamond" w:hAnsi="Garamond"/>
        </w:rPr>
      </w:pPr>
      <w:r w:rsidRPr="00E8059E">
        <w:rPr>
          <w:rFonts w:ascii="Garamond" w:hAnsi="Garamond"/>
        </w:rPr>
        <w:t xml:space="preserve">(B) </w:t>
      </w:r>
      <w:r>
        <w:rPr>
          <w:rFonts w:ascii="Garamond" w:hAnsi="Garamond"/>
        </w:rPr>
        <w:t>d</w:t>
      </w:r>
      <w:r w:rsidRPr="00E8059E">
        <w:rPr>
          <w:rFonts w:ascii="Garamond" w:hAnsi="Garamond"/>
        </w:rPr>
        <w:t xml:space="preserve">oes not include any member of a group of affiliated debtors that has aggregate secured and unsecured debts in an amount greater than $2,490,925. </w:t>
      </w:r>
    </w:p>
    <w:p w:rsidR="00632501" w:rsidRDefault="00632501" w:rsidP="00886584">
      <w:pPr>
        <w:rPr>
          <w:rFonts w:cs="Times New Roman"/>
          <w:color w:val="000000" w:themeColor="text1"/>
        </w:rPr>
      </w:pPr>
    </w:p>
    <w:p w:rsidR="00886584" w:rsidRDefault="00886584" w:rsidP="00886584">
      <w:pPr>
        <w:rPr>
          <w:rFonts w:cs="Times New Roman"/>
          <w:color w:val="000000" w:themeColor="text1"/>
          <w:u w:val="single"/>
        </w:rPr>
      </w:pPr>
      <w:r>
        <w:rPr>
          <w:rFonts w:cs="Times New Roman"/>
          <w:color w:val="000000" w:themeColor="text1"/>
        </w:rPr>
        <w:t>A.</w:t>
      </w:r>
      <w:r>
        <w:rPr>
          <w:rFonts w:cs="Times New Roman"/>
          <w:color w:val="000000" w:themeColor="text1"/>
        </w:rPr>
        <w:tab/>
      </w:r>
      <w:r>
        <w:rPr>
          <w:rFonts w:cs="Times New Roman"/>
          <w:color w:val="000000" w:themeColor="text1"/>
          <w:u w:val="single"/>
        </w:rPr>
        <w:t>Description of the Problem</w:t>
      </w:r>
    </w:p>
    <w:p w:rsidR="00886584" w:rsidRDefault="00886584" w:rsidP="00886584">
      <w:pPr>
        <w:rPr>
          <w:rFonts w:cs="Times New Roman"/>
          <w:color w:val="000000" w:themeColor="text1"/>
        </w:rPr>
      </w:pPr>
      <w:r>
        <w:rPr>
          <w:rFonts w:cs="Times New Roman"/>
          <w:color w:val="000000" w:themeColor="text1"/>
        </w:rPr>
        <w:t xml:space="preserve">The Code’s small business </w:t>
      </w:r>
      <w:r w:rsidR="00632501">
        <w:rPr>
          <w:rFonts w:cs="Times New Roman"/>
          <w:color w:val="000000" w:themeColor="text1"/>
        </w:rPr>
        <w:t xml:space="preserve">debtor </w:t>
      </w:r>
      <w:r>
        <w:rPr>
          <w:rFonts w:cs="Times New Roman"/>
          <w:color w:val="000000" w:themeColor="text1"/>
        </w:rPr>
        <w:t>definition should provide a simple method for identifying early in the case those debtors whose cases qualify for small business treatment. The reason for early identification lies in the Code’s requirements. The small business debtor must append certain financial documents to the voluntary petition, and the Office of the United States trustee (“OUST”) has additional monitoring requirements in small business cases.</w:t>
      </w:r>
      <w:r>
        <w:rPr>
          <w:rStyle w:val="FootnoteReference"/>
          <w:rFonts w:cs="Times New Roman"/>
          <w:color w:val="000000" w:themeColor="text1"/>
        </w:rPr>
        <w:footnoteReference w:id="10"/>
      </w:r>
      <w:r>
        <w:rPr>
          <w:rFonts w:cs="Times New Roman"/>
          <w:color w:val="000000" w:themeColor="text1"/>
        </w:rPr>
        <w:t xml:space="preserve">  As described more fully </w:t>
      </w:r>
      <w:r>
        <w:rPr>
          <w:rFonts w:cs="Times New Roman"/>
          <w:i/>
          <w:color w:val="000000" w:themeColor="text1"/>
        </w:rPr>
        <w:t xml:space="preserve">infra </w:t>
      </w:r>
      <w:r>
        <w:rPr>
          <w:rFonts w:cs="Times New Roman"/>
          <w:color w:val="000000" w:themeColor="text1"/>
        </w:rPr>
        <w:t xml:space="preserve">in Part II of this report, plan-proposal and plan-confirmation deadlines also apply to the small business debtor. Thus, the debtor and other parties in interest must be able to correctly identify which </w:t>
      </w:r>
      <w:r>
        <w:rPr>
          <w:rFonts w:cs="Times New Roman"/>
          <w:color w:val="000000" w:themeColor="text1"/>
        </w:rPr>
        <w:lastRenderedPageBreak/>
        <w:t>debtors fall within the Code’s small business provisions and they must be able to do so early in the chapter 11 case.</w:t>
      </w:r>
    </w:p>
    <w:p w:rsidR="00886584" w:rsidRDefault="00886584" w:rsidP="00886584">
      <w:pPr>
        <w:rPr>
          <w:rFonts w:cs="Times New Roman"/>
          <w:smallCaps/>
          <w:color w:val="000000" w:themeColor="text1"/>
        </w:rPr>
      </w:pPr>
      <w:r>
        <w:rPr>
          <w:rFonts w:cs="Times New Roman"/>
          <w:color w:val="000000" w:themeColor="text1"/>
        </w:rPr>
        <w:t>The current small business debtor definition at §101(51D) is needlessly complex.  It includes qualifiers that make early sorting of debtors more difficult. The definition’s complexity creates uncertainty about which debtors qualify for small business treatment, thereby increasing the chances for litigation about small business status. Its exclusions from small business coverage make little sense in light of the reasons for Congress’ adoption of the small business provisions in BAPCPA. The problem is more thoroughly described in the Lawton ABI study</w:t>
      </w:r>
      <w:r>
        <w:rPr>
          <w:rFonts w:cs="Times New Roman"/>
          <w:smallCaps/>
          <w:color w:val="000000" w:themeColor="text1"/>
        </w:rPr>
        <w:t>.</w:t>
      </w:r>
      <w:r>
        <w:rPr>
          <w:rStyle w:val="FootnoteReference"/>
          <w:rFonts w:cs="Times New Roman"/>
          <w:smallCaps/>
          <w:color w:val="000000" w:themeColor="text1"/>
        </w:rPr>
        <w:footnoteReference w:id="11"/>
      </w:r>
      <w:r>
        <w:rPr>
          <w:rFonts w:cs="Times New Roman"/>
          <w:smallCaps/>
          <w:color w:val="000000" w:themeColor="text1"/>
        </w:rPr>
        <w:t xml:space="preserve"> </w:t>
      </w:r>
    </w:p>
    <w:p w:rsidR="00886584" w:rsidRDefault="00886584" w:rsidP="00886584">
      <w:pPr>
        <w:rPr>
          <w:rFonts w:cs="Times New Roman"/>
          <w:color w:val="000000" w:themeColor="text1"/>
        </w:rPr>
      </w:pPr>
      <w:r>
        <w:rPr>
          <w:rFonts w:cs="Times New Roman"/>
          <w:color w:val="000000" w:themeColor="text1"/>
        </w:rPr>
        <w:t xml:space="preserve">The following summary, however, highlights the portions of the Code’s current definition that are problematic: </w:t>
      </w:r>
    </w:p>
    <w:p w:rsidR="00886584" w:rsidRDefault="00886584" w:rsidP="00886584">
      <w:pPr>
        <w:pStyle w:val="ListParagraph"/>
        <w:numPr>
          <w:ilvl w:val="0"/>
          <w:numId w:val="3"/>
        </w:numPr>
        <w:rPr>
          <w:rFonts w:ascii="Garamond" w:hAnsi="Garamond" w:cs="Times New Roman"/>
          <w:color w:val="000000" w:themeColor="text1"/>
        </w:rPr>
      </w:pPr>
      <w:r>
        <w:rPr>
          <w:rFonts w:ascii="Garamond" w:hAnsi="Garamond" w:cs="Times New Roman"/>
          <w:color w:val="000000" w:themeColor="text1"/>
        </w:rPr>
        <w:t xml:space="preserve">The exclusion from coverage of debtors not engaged in “commercial or business activities.”  </w:t>
      </w:r>
    </w:p>
    <w:p w:rsidR="00886584" w:rsidRDefault="00886584" w:rsidP="00886584">
      <w:pPr>
        <w:pStyle w:val="ListParagraph"/>
        <w:numPr>
          <w:ilvl w:val="0"/>
          <w:numId w:val="3"/>
        </w:numPr>
        <w:rPr>
          <w:rFonts w:ascii="Garamond" w:hAnsi="Garamond" w:cs="Times New Roman"/>
          <w:color w:val="000000" w:themeColor="text1"/>
        </w:rPr>
      </w:pPr>
      <w:r>
        <w:rPr>
          <w:rFonts w:ascii="Garamond" w:hAnsi="Garamond" w:cs="Times New Roman"/>
          <w:color w:val="000000" w:themeColor="text1"/>
        </w:rPr>
        <w:t>The deduction from debtor liability totals of any contingent, unliquidated, affiliate, and insider debt.</w:t>
      </w:r>
    </w:p>
    <w:p w:rsidR="00886584" w:rsidRDefault="00886584" w:rsidP="00886584">
      <w:pPr>
        <w:pStyle w:val="ListParagraph"/>
        <w:numPr>
          <w:ilvl w:val="0"/>
          <w:numId w:val="3"/>
        </w:numPr>
        <w:rPr>
          <w:rFonts w:ascii="Garamond" w:hAnsi="Garamond" w:cs="Times New Roman"/>
          <w:color w:val="000000" w:themeColor="text1"/>
        </w:rPr>
      </w:pPr>
      <w:r>
        <w:rPr>
          <w:rFonts w:ascii="Garamond" w:hAnsi="Garamond" w:cs="Times New Roman"/>
          <w:color w:val="000000" w:themeColor="text1"/>
        </w:rPr>
        <w:t>The exclusion from coverage of any debtor whose “primary activity is the business of owning or operating real property”; and</w:t>
      </w:r>
    </w:p>
    <w:p w:rsidR="00886584" w:rsidRDefault="00886584" w:rsidP="00886584">
      <w:pPr>
        <w:pStyle w:val="ListParagraph"/>
        <w:numPr>
          <w:ilvl w:val="0"/>
          <w:numId w:val="3"/>
        </w:numPr>
        <w:rPr>
          <w:rFonts w:ascii="Garamond" w:hAnsi="Garamond" w:cs="Times New Roman"/>
          <w:color w:val="000000" w:themeColor="text1"/>
        </w:rPr>
      </w:pPr>
      <w:r>
        <w:rPr>
          <w:rFonts w:ascii="Garamond" w:hAnsi="Garamond" w:cs="Times New Roman"/>
          <w:color w:val="000000" w:themeColor="text1"/>
        </w:rPr>
        <w:t>The exclusion from coverage of any case in which an official creditor committee is appointed, but only if the United States trustee appointed the committee.</w:t>
      </w:r>
    </w:p>
    <w:p w:rsidR="00886584" w:rsidRDefault="00886584" w:rsidP="00886584">
      <w:pPr>
        <w:rPr>
          <w:rFonts w:cs="Times New Roman"/>
          <w:color w:val="000000" w:themeColor="text1"/>
        </w:rPr>
      </w:pPr>
    </w:p>
    <w:p w:rsidR="00886584" w:rsidRDefault="00886584" w:rsidP="00886584">
      <w:pPr>
        <w:rPr>
          <w:rFonts w:cs="Times New Roman"/>
          <w:color w:val="000000" w:themeColor="text1"/>
          <w:u w:val="single"/>
        </w:rPr>
      </w:pPr>
      <w:r>
        <w:rPr>
          <w:rFonts w:cs="Times New Roman"/>
          <w:color w:val="000000" w:themeColor="text1"/>
        </w:rPr>
        <w:t>B.</w:t>
      </w:r>
      <w:r>
        <w:rPr>
          <w:rFonts w:cs="Times New Roman"/>
          <w:color w:val="000000" w:themeColor="text1"/>
        </w:rPr>
        <w:tab/>
      </w:r>
      <w:r>
        <w:rPr>
          <w:rFonts w:cs="Times New Roman"/>
          <w:color w:val="000000" w:themeColor="text1"/>
          <w:u w:val="single"/>
        </w:rPr>
        <w:t xml:space="preserve">The Empirical Evidence </w:t>
      </w:r>
    </w:p>
    <w:p w:rsidR="00886584" w:rsidRDefault="00886584" w:rsidP="00886584">
      <w:pPr>
        <w:rPr>
          <w:rFonts w:cs="Times New Roman"/>
          <w:color w:val="000000" w:themeColor="text1"/>
        </w:rPr>
      </w:pPr>
      <w:r>
        <w:rPr>
          <w:rFonts w:cs="Times New Roman"/>
          <w:color w:val="000000" w:themeColor="text1"/>
        </w:rPr>
        <w:t xml:space="preserve">The findings in this portion of </w:t>
      </w:r>
      <w:r w:rsidR="00632501">
        <w:rPr>
          <w:rFonts w:cs="Times New Roman"/>
          <w:color w:val="000000" w:themeColor="text1"/>
        </w:rPr>
        <w:t>my testimony</w:t>
      </w:r>
      <w:r>
        <w:rPr>
          <w:rFonts w:cs="Times New Roman"/>
          <w:color w:val="000000" w:themeColor="text1"/>
        </w:rPr>
        <w:t xml:space="preserve"> are taken from the Lawton ABI study and are based on a random sample of chapter 11 cases drawn from the population of all chapter 11 cases filed in calendar year 2004.</w:t>
      </w:r>
      <w:r>
        <w:rPr>
          <w:rStyle w:val="FootnoteReference"/>
          <w:rFonts w:cs="Times New Roman"/>
          <w:color w:val="000000" w:themeColor="text1"/>
        </w:rPr>
        <w:footnoteReference w:id="12"/>
      </w:r>
      <w:r>
        <w:rPr>
          <w:rFonts w:cs="Times New Roman"/>
          <w:color w:val="000000" w:themeColor="text1"/>
        </w:rPr>
        <w:t xml:space="preserve">  The Lawton ABI study found that two elements in the Code’s current small business debtor definition – total liabilities and official creditor committee formation – do a very good job of identifying those debtors at risk for chapter 11 failure, i.e., not confirming a plan.</w:t>
      </w:r>
      <w:r>
        <w:rPr>
          <w:rStyle w:val="FootnoteReference"/>
          <w:rFonts w:cs="Times New Roman"/>
          <w:color w:val="000000" w:themeColor="text1"/>
        </w:rPr>
        <w:footnoteReference w:id="13"/>
      </w:r>
      <w:r>
        <w:rPr>
          <w:rFonts w:cs="Times New Roman"/>
          <w:color w:val="000000" w:themeColor="text1"/>
        </w:rPr>
        <w:t xml:space="preserve">   </w:t>
      </w:r>
    </w:p>
    <w:p w:rsidR="00886584" w:rsidRDefault="00886584" w:rsidP="00886584">
      <w:pPr>
        <w:rPr>
          <w:rFonts w:cs="Times New Roman"/>
          <w:color w:val="000000" w:themeColor="text1"/>
        </w:rPr>
      </w:pPr>
      <w:r>
        <w:rPr>
          <w:rFonts w:cs="Times New Roman"/>
          <w:color w:val="000000" w:themeColor="text1"/>
        </w:rPr>
        <w:t xml:space="preserve">The Lawton ABI study used total liabilities and official creditor committee formation to categorize chapter 11 cases as small versus non-small business </w:t>
      </w:r>
      <w:r w:rsidR="008442D6">
        <w:rPr>
          <w:rFonts w:cs="Times New Roman"/>
          <w:color w:val="000000" w:themeColor="text1"/>
        </w:rPr>
        <w:t>debtors</w:t>
      </w:r>
      <w:r>
        <w:rPr>
          <w:rFonts w:cs="Times New Roman"/>
          <w:color w:val="000000" w:themeColor="text1"/>
        </w:rPr>
        <w:t>. Any debtor with total liabilities in excess of $2 million</w:t>
      </w:r>
      <w:r>
        <w:rPr>
          <w:rStyle w:val="FootnoteReference"/>
          <w:rFonts w:cs="Times New Roman"/>
          <w:color w:val="000000" w:themeColor="text1"/>
        </w:rPr>
        <w:footnoteReference w:id="14"/>
      </w:r>
      <w:r>
        <w:rPr>
          <w:rFonts w:cs="Times New Roman"/>
          <w:color w:val="000000" w:themeColor="text1"/>
        </w:rPr>
        <w:t xml:space="preserve"> - without deducting contingent, unliquidated, affiliate, or insider debt – automatically was excluded from the pool of small business debtors.</w:t>
      </w:r>
      <w:r>
        <w:rPr>
          <w:rStyle w:val="FootnoteReference"/>
          <w:rFonts w:cs="Times New Roman"/>
          <w:color w:val="000000" w:themeColor="text1"/>
        </w:rPr>
        <w:footnoteReference w:id="15"/>
      </w:r>
      <w:r>
        <w:rPr>
          <w:rFonts w:cs="Times New Roman"/>
          <w:color w:val="000000" w:themeColor="text1"/>
        </w:rPr>
        <w:t xml:space="preserve"> The same held for official creditor committee formation. If an official committee formed in the debtor’s case, then the case did not qualify as a small business.  Thus, any debtor with total liabilities of $2 million or less in a case in </w:t>
      </w:r>
      <w:r>
        <w:rPr>
          <w:rFonts w:cs="Times New Roman"/>
          <w:color w:val="000000" w:themeColor="text1"/>
        </w:rPr>
        <w:lastRenderedPageBreak/>
        <w:t xml:space="preserve">which no official creditor’s committee formed was counted as a small business debtor. More than 60% of the debtors in the 2004 random sample qualified as small business debtors using only these two easily identified criteria. </w:t>
      </w:r>
    </w:p>
    <w:p w:rsidR="00886584" w:rsidRDefault="00886584" w:rsidP="00886584">
      <w:pPr>
        <w:rPr>
          <w:rFonts w:cs="Times New Roman"/>
          <w:color w:val="000000" w:themeColor="text1"/>
        </w:rPr>
      </w:pPr>
      <w:r>
        <w:rPr>
          <w:rFonts w:cs="Times New Roman"/>
          <w:color w:val="000000" w:themeColor="text1"/>
        </w:rPr>
        <w:t>This simple definition of a small business debtor worked quite well at sorting those debtors with high and low prospects for plan confirmation in chapter 11.  The plan-confirmation rate for non-small business debtors was 48%; for small business debtors it was only 26%.</w:t>
      </w:r>
      <w:r>
        <w:rPr>
          <w:rStyle w:val="FootnoteReference"/>
          <w:rFonts w:cs="Times New Roman"/>
          <w:color w:val="000000" w:themeColor="text1"/>
        </w:rPr>
        <w:footnoteReference w:id="16"/>
      </w:r>
      <w:r>
        <w:rPr>
          <w:rFonts w:cs="Times New Roman"/>
          <w:color w:val="000000" w:themeColor="text1"/>
        </w:rPr>
        <w:t xml:space="preserve"> This difference in confirmation rates was statistically significant.</w:t>
      </w:r>
      <w:r>
        <w:rPr>
          <w:rStyle w:val="FootnoteReference"/>
          <w:rFonts w:cs="Times New Roman"/>
          <w:color w:val="000000" w:themeColor="text1"/>
        </w:rPr>
        <w:footnoteReference w:id="17"/>
      </w:r>
      <w:r>
        <w:rPr>
          <w:rFonts w:cs="Times New Roman"/>
          <w:color w:val="000000" w:themeColor="text1"/>
        </w:rPr>
        <w:t xml:space="preserve"> </w:t>
      </w:r>
    </w:p>
    <w:p w:rsidR="00886584" w:rsidRDefault="00886584" w:rsidP="00886584">
      <w:pPr>
        <w:rPr>
          <w:rFonts w:cs="Times New Roman"/>
          <w:color w:val="000000" w:themeColor="text1"/>
        </w:rPr>
      </w:pPr>
      <w:r>
        <w:rPr>
          <w:rFonts w:cs="Times New Roman"/>
          <w:color w:val="000000" w:themeColor="text1"/>
        </w:rPr>
        <w:t xml:space="preserve">A simpler definition is both more over-inclusive and under-inclusive than the Code’s current small business debtor definition. It is more over-inclusive because individual consumer debtors and those whose primary activity involves real estate may be counted as small business debtors under the simpler definition.  It is under-inclusive because some debtors on the cusp of the liability cutoff will avoid small business coverage if contingent, unliquidated, affiliate, and insider debt is included when computing debtors’ liabilities. </w:t>
      </w:r>
    </w:p>
    <w:p w:rsidR="00886584" w:rsidRDefault="00886584" w:rsidP="00886584">
      <w:pPr>
        <w:rPr>
          <w:rFonts w:cs="Times New Roman"/>
          <w:color w:val="000000" w:themeColor="text1"/>
        </w:rPr>
      </w:pPr>
      <w:r>
        <w:rPr>
          <w:rFonts w:cs="Times New Roman"/>
          <w:color w:val="000000" w:themeColor="text1"/>
        </w:rPr>
        <w:t>But, as explained in the following section, the Code’s current definition is difficult to apply and undermines the goal of early sorting of debtors. “[A] bright-line definition minimizes litigation and enables the court and counsel to focus on the merits of the Chapter 11 case.”</w:t>
      </w:r>
      <w:r>
        <w:rPr>
          <w:rStyle w:val="FootnoteReference"/>
          <w:rFonts w:cs="Times New Roman"/>
          <w:color w:val="000000" w:themeColor="text1"/>
        </w:rPr>
        <w:footnoteReference w:id="18"/>
      </w:r>
      <w:r>
        <w:rPr>
          <w:rFonts w:cs="Times New Roman"/>
          <w:color w:val="000000" w:themeColor="text1"/>
        </w:rPr>
        <w:t xml:space="preserve"> In addition, some of Congress’s definitional choices – the United States trustee language and the “primary activity” exclusion – appear to be drafting errors. </w:t>
      </w:r>
    </w:p>
    <w:p w:rsidR="00886584" w:rsidRPr="00204FD1" w:rsidRDefault="00292FDE" w:rsidP="00886584">
      <w:pPr>
        <w:rPr>
          <w:rFonts w:cs="Times New Roman"/>
          <w:color w:val="000000" w:themeColor="text1"/>
          <w:u w:val="single"/>
        </w:rPr>
      </w:pPr>
      <w:r>
        <w:rPr>
          <w:rFonts w:cs="Times New Roman"/>
          <w:color w:val="000000" w:themeColor="text1"/>
        </w:rPr>
        <w:t>C</w:t>
      </w:r>
      <w:r w:rsidR="00886584">
        <w:rPr>
          <w:rFonts w:cs="Times New Roman"/>
          <w:color w:val="000000" w:themeColor="text1"/>
        </w:rPr>
        <w:t>.</w:t>
      </w:r>
      <w:r w:rsidR="00886584">
        <w:rPr>
          <w:rFonts w:cs="Times New Roman"/>
          <w:color w:val="000000" w:themeColor="text1"/>
        </w:rPr>
        <w:tab/>
      </w:r>
      <w:r w:rsidR="00886584">
        <w:rPr>
          <w:rFonts w:cs="Times New Roman"/>
          <w:color w:val="000000" w:themeColor="text1"/>
          <w:u w:val="single"/>
        </w:rPr>
        <w:t>The Findings Applied and the Legislative History</w:t>
      </w:r>
    </w:p>
    <w:p w:rsidR="00886584" w:rsidRPr="00292FDE" w:rsidRDefault="00292FDE" w:rsidP="00292FDE">
      <w:pPr>
        <w:rPr>
          <w:rFonts w:cs="Times New Roman"/>
          <w:i/>
          <w:color w:val="000000" w:themeColor="text1"/>
        </w:rPr>
      </w:pPr>
      <w:r>
        <w:rPr>
          <w:rFonts w:cs="Times New Roman"/>
          <w:i/>
          <w:color w:val="000000" w:themeColor="text1"/>
        </w:rPr>
        <w:t>1.</w:t>
      </w:r>
      <w:r>
        <w:rPr>
          <w:rFonts w:cs="Times New Roman"/>
          <w:i/>
          <w:color w:val="000000" w:themeColor="text1"/>
        </w:rPr>
        <w:tab/>
        <w:t>C</w:t>
      </w:r>
      <w:r w:rsidR="00886584" w:rsidRPr="00292FDE">
        <w:rPr>
          <w:rFonts w:cs="Times New Roman"/>
          <w:i/>
          <w:color w:val="000000" w:themeColor="text1"/>
        </w:rPr>
        <w:t>hapter 11 Consumer Debtors</w:t>
      </w:r>
    </w:p>
    <w:p w:rsidR="00886584" w:rsidRDefault="00886584" w:rsidP="00886584">
      <w:pPr>
        <w:pStyle w:val="ListParagraph"/>
        <w:ind w:left="0"/>
        <w:rPr>
          <w:rFonts w:ascii="Garamond" w:hAnsi="Garamond" w:cs="Times New Roman"/>
          <w:color w:val="000000" w:themeColor="text1"/>
        </w:rPr>
      </w:pPr>
      <w:r>
        <w:rPr>
          <w:rFonts w:ascii="Garamond" w:hAnsi="Garamond" w:cs="Times New Roman"/>
          <w:color w:val="000000" w:themeColor="text1"/>
        </w:rPr>
        <w:t xml:space="preserve">BAPCPA’s legislative history provides no explanation for why Congress chose to exclude chapter 11 consumer debtors from small business coverage.  Congress, however, did express concern about the “lack of creditor oversight” in small business cases. </w:t>
      </w:r>
    </w:p>
    <w:p w:rsidR="00886584" w:rsidRDefault="00886584" w:rsidP="00886584">
      <w:pPr>
        <w:pStyle w:val="ListParagraph"/>
        <w:rPr>
          <w:rFonts w:ascii="Garamond" w:hAnsi="Garamond" w:cs="Times New Roman"/>
          <w:color w:val="000000" w:themeColor="text1"/>
        </w:rPr>
      </w:pPr>
    </w:p>
    <w:p w:rsidR="00886584" w:rsidRDefault="00886584" w:rsidP="00886584">
      <w:pPr>
        <w:ind w:left="720"/>
        <w:rPr>
          <w:rFonts w:cs="Times New Roman"/>
          <w:color w:val="000000" w:themeColor="text1"/>
        </w:rPr>
      </w:pPr>
      <w:r w:rsidRPr="00996431">
        <w:rPr>
          <w:rFonts w:cs="Times New Roman"/>
          <w:color w:val="000000" w:themeColor="text1"/>
        </w:rPr>
        <w:t>Although the Bankruptcy Code envisions that creditors should play a major role in the oversight of chapter 11 cases, this often does not occur with respect to small business debtors. . . . The resulting lack of creditor oversight creates a greater need for the United States trustee to monitor these cases closely.</w:t>
      </w:r>
      <w:r>
        <w:rPr>
          <w:rStyle w:val="FootnoteReference"/>
          <w:rFonts w:cs="Times New Roman"/>
          <w:color w:val="000000" w:themeColor="text1"/>
        </w:rPr>
        <w:footnoteReference w:id="19"/>
      </w:r>
    </w:p>
    <w:p w:rsidR="00886584" w:rsidRDefault="00886584" w:rsidP="00886584">
      <w:pPr>
        <w:rPr>
          <w:rFonts w:cs="Times New Roman"/>
          <w:color w:val="000000" w:themeColor="text1"/>
        </w:rPr>
      </w:pPr>
      <w:r>
        <w:rPr>
          <w:rFonts w:cs="Times New Roman"/>
          <w:color w:val="000000" w:themeColor="text1"/>
        </w:rPr>
        <w:t>Creditor committee formation does predict plan confirmation. The Lawton Triage study found that cases with official creditor committees confirmed plans at a rate of 62%.</w:t>
      </w:r>
      <w:r>
        <w:rPr>
          <w:rStyle w:val="FootnoteReference"/>
          <w:rFonts w:cs="Times New Roman"/>
          <w:color w:val="000000" w:themeColor="text1"/>
        </w:rPr>
        <w:footnoteReference w:id="20"/>
      </w:r>
      <w:r>
        <w:rPr>
          <w:rFonts w:cs="Times New Roman"/>
          <w:color w:val="000000" w:themeColor="text1"/>
        </w:rPr>
        <w:t xml:space="preserve"> The rate of plan </w:t>
      </w:r>
      <w:r w:rsidR="00292FDE">
        <w:rPr>
          <w:rFonts w:cs="Times New Roman"/>
          <w:color w:val="000000" w:themeColor="text1"/>
        </w:rPr>
        <w:lastRenderedPageBreak/>
        <w:t>c</w:t>
      </w:r>
      <w:r>
        <w:rPr>
          <w:rFonts w:cs="Times New Roman"/>
          <w:color w:val="000000" w:themeColor="text1"/>
        </w:rPr>
        <w:t>onfirmation was 27% for cases without committees.</w:t>
      </w:r>
      <w:r>
        <w:rPr>
          <w:rStyle w:val="FootnoteReference"/>
          <w:rFonts w:cs="Times New Roman"/>
          <w:color w:val="000000" w:themeColor="text1"/>
        </w:rPr>
        <w:footnoteReference w:id="21"/>
      </w:r>
      <w:r>
        <w:rPr>
          <w:rFonts w:cs="Times New Roman"/>
          <w:color w:val="000000" w:themeColor="text1"/>
        </w:rPr>
        <w:t xml:space="preserve"> This difference in confirmation rates is statistically significant.</w:t>
      </w:r>
      <w:r>
        <w:rPr>
          <w:rStyle w:val="FootnoteReference"/>
          <w:rFonts w:cs="Times New Roman"/>
          <w:color w:val="000000" w:themeColor="text1"/>
        </w:rPr>
        <w:footnoteReference w:id="22"/>
      </w:r>
      <w:r>
        <w:rPr>
          <w:rFonts w:cs="Times New Roman"/>
          <w:color w:val="000000" w:themeColor="text1"/>
        </w:rPr>
        <w:t xml:space="preserve"> </w:t>
      </w:r>
    </w:p>
    <w:p w:rsidR="00886584" w:rsidRDefault="00886584" w:rsidP="00292FDE">
      <w:pPr>
        <w:rPr>
          <w:rFonts w:cs="Times New Roman"/>
          <w:color w:val="000000" w:themeColor="text1"/>
        </w:rPr>
      </w:pPr>
      <w:r>
        <w:rPr>
          <w:rFonts w:cs="Times New Roman"/>
          <w:color w:val="000000" w:themeColor="text1"/>
        </w:rPr>
        <w:t>Creditor committees, however, rarely form in chapter 11 consumer cases. In fact, in the Lawton ABI study, a committee formed in only 1 of 102 cases in which the debtor identified itself on the petition as having primarily consumer/non-business debts.</w:t>
      </w:r>
      <w:r>
        <w:rPr>
          <w:rStyle w:val="FootnoteReference"/>
          <w:rFonts w:cs="Times New Roman"/>
          <w:color w:val="000000" w:themeColor="text1"/>
        </w:rPr>
        <w:footnoteReference w:id="23"/>
      </w:r>
      <w:r>
        <w:rPr>
          <w:rFonts w:cs="Times New Roman"/>
          <w:color w:val="000000" w:themeColor="text1"/>
        </w:rPr>
        <w:t xml:space="preserve">  If one goal of BAPCPA was to increase monitoring of those cases without active creditor participation, then Congress’ decision to exclude consumer chapter 11 cases from the small business reforms makes little sense. </w:t>
      </w:r>
    </w:p>
    <w:p w:rsidR="00886584" w:rsidRPr="00292FDE" w:rsidRDefault="00292FDE" w:rsidP="00292FDE">
      <w:pPr>
        <w:ind w:left="720" w:hanging="720"/>
        <w:rPr>
          <w:rFonts w:cs="Times New Roman"/>
          <w:i/>
          <w:color w:val="000000" w:themeColor="text1"/>
        </w:rPr>
      </w:pPr>
      <w:r>
        <w:rPr>
          <w:rFonts w:cs="Times New Roman"/>
          <w:i/>
          <w:color w:val="000000" w:themeColor="text1"/>
        </w:rPr>
        <w:t>2.</w:t>
      </w:r>
      <w:r>
        <w:rPr>
          <w:rFonts w:cs="Times New Roman"/>
          <w:i/>
          <w:color w:val="000000" w:themeColor="text1"/>
        </w:rPr>
        <w:tab/>
      </w:r>
      <w:r w:rsidR="00886584" w:rsidRPr="00292FDE">
        <w:rPr>
          <w:rFonts w:cs="Times New Roman"/>
          <w:i/>
          <w:color w:val="000000" w:themeColor="text1"/>
        </w:rPr>
        <w:t>Computation of Liabilities</w:t>
      </w:r>
    </w:p>
    <w:p w:rsidR="00886584" w:rsidRDefault="00886584" w:rsidP="00886584">
      <w:pPr>
        <w:rPr>
          <w:rFonts w:cs="Times New Roman"/>
          <w:color w:val="000000" w:themeColor="text1"/>
        </w:rPr>
      </w:pPr>
      <w:r>
        <w:rPr>
          <w:rFonts w:cs="Times New Roman"/>
          <w:color w:val="000000" w:themeColor="text1"/>
        </w:rPr>
        <w:t xml:space="preserve">The current liability cutoff for small business debtors is $2,490,925. But, in computing liabilities a debtor must deduct contingent, liquidated, affiliate and insider debt. There are two reasons to abandon the complicated system of liability computation created by BAPCPA’s definition of a small business debtor.  </w:t>
      </w:r>
    </w:p>
    <w:p w:rsidR="00886584" w:rsidRDefault="00886584" w:rsidP="00886584">
      <w:pPr>
        <w:rPr>
          <w:rFonts w:cs="Times New Roman"/>
          <w:color w:val="000000" w:themeColor="text1"/>
        </w:rPr>
      </w:pPr>
      <w:r>
        <w:rPr>
          <w:rFonts w:cs="Times New Roman"/>
          <w:color w:val="000000" w:themeColor="text1"/>
        </w:rPr>
        <w:t>First, the current bankruptcy forms do not provide an easy way to verify the debtor’s calculations. The forms do not require the debtor to separately itemize and describe its (1) contingent; (2) unliquidated; (3) affiliate; and (4) insider debt. There is a check box on the petition for chapter 11 cases telling the debtor to “Check if: Debtor’s aggregate noncontingent liquidated debts (excluding debts owed to insiders or affiliates) are less than $2,490,925.”  That box, however, simply repeats the Code’s language. It does not provide a simple way to determine whether the debtor’s liability calculation is correct. Without itemized totals for each form of debt deduction required, how is the OUST to verify the debtor’s calculations? If the purpose of the debt limit is to trigger inquiry about whether a debtor is indeed a small business debtor,</w:t>
      </w:r>
      <w:r>
        <w:rPr>
          <w:rStyle w:val="FootnoteReference"/>
          <w:rFonts w:cs="Times New Roman"/>
          <w:color w:val="000000" w:themeColor="text1"/>
        </w:rPr>
        <w:footnoteReference w:id="24"/>
      </w:r>
      <w:r>
        <w:rPr>
          <w:rFonts w:cs="Times New Roman"/>
          <w:color w:val="000000" w:themeColor="text1"/>
        </w:rPr>
        <w:t xml:space="preserve"> complicating the computational process undermines that goal. </w:t>
      </w:r>
    </w:p>
    <w:p w:rsidR="00886584" w:rsidRDefault="00886584" w:rsidP="00886584">
      <w:pPr>
        <w:rPr>
          <w:rFonts w:cs="Times New Roman"/>
          <w:color w:val="000000" w:themeColor="text1"/>
        </w:rPr>
      </w:pPr>
      <w:r>
        <w:rPr>
          <w:rFonts w:cs="Times New Roman"/>
          <w:color w:val="000000" w:themeColor="text1"/>
        </w:rPr>
        <w:t>Second, the Lawton Triage study found that debtors with more than $2 million in liabilities – the statutory debt limit in 2004 – confirmed plans at a significantly higher rate statistically than did debtors with less than $2 million in liabilities, regardless of whether liability totals included or excluded contingent and unliquidated debt.</w:t>
      </w:r>
      <w:r>
        <w:rPr>
          <w:rStyle w:val="FootnoteReference"/>
          <w:rFonts w:cs="Times New Roman"/>
          <w:color w:val="000000" w:themeColor="text1"/>
        </w:rPr>
        <w:footnoteReference w:id="25"/>
      </w:r>
      <w:r>
        <w:rPr>
          <w:rFonts w:cs="Times New Roman"/>
          <w:color w:val="000000" w:themeColor="text1"/>
        </w:rPr>
        <w:t xml:space="preserve"> The Lawton ABI study found that deduction of affiliate and insider debt affected small business status in less than 2% of the cases in the 2004 random sample.</w:t>
      </w:r>
      <w:r>
        <w:rPr>
          <w:rStyle w:val="FootnoteReference"/>
          <w:rFonts w:cs="Times New Roman"/>
          <w:color w:val="000000" w:themeColor="text1"/>
        </w:rPr>
        <w:footnoteReference w:id="26"/>
      </w:r>
      <w:r>
        <w:rPr>
          <w:rFonts w:cs="Times New Roman"/>
          <w:color w:val="000000" w:themeColor="text1"/>
        </w:rPr>
        <w:t xml:space="preserve"> </w:t>
      </w:r>
    </w:p>
    <w:p w:rsidR="00886584" w:rsidRDefault="00886584" w:rsidP="00886584">
      <w:pPr>
        <w:rPr>
          <w:rFonts w:cs="Times New Roman"/>
          <w:color w:val="000000" w:themeColor="text1"/>
        </w:rPr>
      </w:pPr>
      <w:r>
        <w:rPr>
          <w:rFonts w:cs="Times New Roman"/>
          <w:color w:val="000000" w:themeColor="text1"/>
        </w:rPr>
        <w:t xml:space="preserve"> </w:t>
      </w:r>
    </w:p>
    <w:p w:rsidR="00886584" w:rsidRDefault="00886584" w:rsidP="00886584">
      <w:pPr>
        <w:rPr>
          <w:rFonts w:cs="Times New Roman"/>
          <w:color w:val="000000" w:themeColor="text1"/>
        </w:rPr>
      </w:pPr>
      <w:r>
        <w:rPr>
          <w:rFonts w:cs="Times New Roman"/>
          <w:color w:val="000000" w:themeColor="text1"/>
        </w:rPr>
        <w:lastRenderedPageBreak/>
        <w:t>Moreover, debtors and their counsel do not always understand what constitutes “contingent” or “unliquidated” debt.</w:t>
      </w:r>
      <w:r>
        <w:rPr>
          <w:rStyle w:val="FootnoteReference"/>
          <w:rFonts w:cs="Times New Roman"/>
          <w:color w:val="000000" w:themeColor="text1"/>
        </w:rPr>
        <w:footnoteReference w:id="27"/>
      </w:r>
      <w:r>
        <w:rPr>
          <w:rFonts w:cs="Times New Roman"/>
          <w:color w:val="000000" w:themeColor="text1"/>
        </w:rPr>
        <w:t xml:space="preserve">  The Code’s definition of an affiliate also creates problems for debtors.</w:t>
      </w:r>
      <w:r>
        <w:rPr>
          <w:rStyle w:val="FootnoteReference"/>
          <w:rFonts w:cs="Times New Roman"/>
          <w:color w:val="000000" w:themeColor="text1"/>
        </w:rPr>
        <w:footnoteReference w:id="28"/>
      </w:r>
      <w:r>
        <w:rPr>
          <w:rFonts w:cs="Times New Roman"/>
          <w:color w:val="000000" w:themeColor="text1"/>
        </w:rPr>
        <w:t xml:space="preserve">  Complicating calculations even more is the fact that affiliate and insider debt must be subtracted even if the affiliate or insider has not filed for bankruptcy.  How is a creditor to verify the debtor’s liability calculations without knowing all of the debtor’s affiliates and insiders?  Debtors do not always describe liabilities on their schedules as “affiliate loan</w:t>
      </w:r>
      <w:r w:rsidR="00394710">
        <w:rPr>
          <w:rFonts w:cs="Times New Roman"/>
          <w:color w:val="000000" w:themeColor="text1"/>
        </w:rPr>
        <w:t>,</w:t>
      </w:r>
      <w:r>
        <w:rPr>
          <w:rFonts w:cs="Times New Roman"/>
          <w:color w:val="000000" w:themeColor="text1"/>
        </w:rPr>
        <w:t xml:space="preserve">” “intercompany loan,” or “insider compensation.”  </w:t>
      </w:r>
    </w:p>
    <w:p w:rsidR="00886584" w:rsidRDefault="00886584" w:rsidP="00886584">
      <w:pPr>
        <w:rPr>
          <w:rFonts w:cs="Times New Roman"/>
          <w:color w:val="000000" w:themeColor="text1"/>
        </w:rPr>
      </w:pPr>
      <w:r>
        <w:rPr>
          <w:rFonts w:cs="Times New Roman"/>
          <w:color w:val="000000" w:themeColor="text1"/>
        </w:rPr>
        <w:t xml:space="preserve">Thus, the current method for calculating liabilities is needlessly complicated. One solution is to amend the bankruptcy forms to require separate itemization of contingent, unliquidated, affiliate and insider debt. But, the empirical evidence strongly suggests that simplifying the calculation of debtor liabilities will not affect the ability to identify those debtors with reduced prospects for chapter 11 success. </w:t>
      </w:r>
    </w:p>
    <w:p w:rsidR="00886584" w:rsidRPr="00292FDE" w:rsidRDefault="00292FDE" w:rsidP="00292FDE">
      <w:pPr>
        <w:ind w:left="720" w:hanging="720"/>
        <w:rPr>
          <w:rFonts w:cs="Times New Roman"/>
          <w:i/>
          <w:color w:val="000000" w:themeColor="text1"/>
        </w:rPr>
      </w:pPr>
      <w:r>
        <w:rPr>
          <w:rFonts w:cs="Times New Roman"/>
          <w:i/>
          <w:color w:val="000000" w:themeColor="text1"/>
        </w:rPr>
        <w:t>3.</w:t>
      </w:r>
      <w:r>
        <w:rPr>
          <w:rFonts w:cs="Times New Roman"/>
          <w:i/>
          <w:color w:val="000000" w:themeColor="text1"/>
        </w:rPr>
        <w:tab/>
      </w:r>
      <w:r w:rsidR="00886584" w:rsidRPr="00292FDE">
        <w:rPr>
          <w:rFonts w:cs="Times New Roman"/>
          <w:i/>
          <w:color w:val="000000" w:themeColor="text1"/>
        </w:rPr>
        <w:t>Primary Activity: Real Property</w:t>
      </w:r>
    </w:p>
    <w:p w:rsidR="00886584" w:rsidRDefault="00886584" w:rsidP="00886584">
      <w:pPr>
        <w:rPr>
          <w:rFonts w:cs="Times New Roman"/>
          <w:color w:val="000000" w:themeColor="text1"/>
        </w:rPr>
      </w:pPr>
      <w:r>
        <w:rPr>
          <w:rFonts w:cs="Times New Roman"/>
          <w:color w:val="000000" w:themeColor="text1"/>
        </w:rPr>
        <w:t>The Code excludes from small business coverage any debtor “whose primary activity is the business of owning or operating real property o</w:t>
      </w:r>
      <w:r w:rsidR="00632501">
        <w:rPr>
          <w:rFonts w:cs="Times New Roman"/>
          <w:color w:val="000000" w:themeColor="text1"/>
        </w:rPr>
        <w:t>r activities incidental</w:t>
      </w:r>
      <w:r>
        <w:rPr>
          <w:rFonts w:cs="Times New Roman"/>
          <w:color w:val="000000" w:themeColor="text1"/>
        </w:rPr>
        <w:t xml:space="preserve"> thereto.” There are at least two problems with retaining the Code’s “primary activity” exclusion. </w:t>
      </w:r>
    </w:p>
    <w:p w:rsidR="00886584" w:rsidRDefault="00886584" w:rsidP="00886584">
      <w:pPr>
        <w:rPr>
          <w:rFonts w:cs="Times New Roman"/>
          <w:color w:val="000000" w:themeColor="text1"/>
        </w:rPr>
      </w:pPr>
      <w:r>
        <w:rPr>
          <w:rFonts w:cs="Times New Roman"/>
          <w:color w:val="000000" w:themeColor="text1"/>
        </w:rPr>
        <w:t>First, Congress failed to define what constitutes a debtor’s primary activity.  While the Code does define “single asset real estate” (“SARE”), the term “primary activity” and SARE are not co-extensive.</w:t>
      </w:r>
      <w:r>
        <w:rPr>
          <w:rStyle w:val="FootnoteReference"/>
          <w:rFonts w:cs="Times New Roman"/>
          <w:color w:val="000000" w:themeColor="text1"/>
        </w:rPr>
        <w:footnoteReference w:id="29"/>
      </w:r>
      <w:r>
        <w:rPr>
          <w:rFonts w:cs="Times New Roman"/>
          <w:color w:val="000000" w:themeColor="text1"/>
        </w:rPr>
        <w:t xml:space="preserve">  As a result, courts must define the term, thereby opening the door to litigation about the exact contours of the “primary activity” exclusion.  Uncertainty about definitional terms, however, undermines the goal of early identification of those debtors most at risk of failure in chapter 11.</w:t>
      </w:r>
    </w:p>
    <w:p w:rsidR="00886584" w:rsidRDefault="00886584" w:rsidP="00886584">
      <w:pPr>
        <w:rPr>
          <w:rFonts w:cs="Times New Roman"/>
          <w:color w:val="000000" w:themeColor="text1"/>
        </w:rPr>
      </w:pPr>
      <w:r>
        <w:rPr>
          <w:rFonts w:cs="Times New Roman"/>
          <w:color w:val="000000" w:themeColor="text1"/>
        </w:rPr>
        <w:t>Second, it is unclear what purpose is served by excluding from small business coverage those debtors whose primary activity is the business of owning or operating real property. The 1997 Commission included all single-asset real estate cases, regardless of the amount of the debtor’s liabilities, in its definition of a small business debtor.</w:t>
      </w:r>
      <w:r>
        <w:rPr>
          <w:rStyle w:val="FootnoteReference"/>
          <w:rFonts w:cs="Times New Roman"/>
          <w:color w:val="000000" w:themeColor="text1"/>
        </w:rPr>
        <w:footnoteReference w:id="30"/>
      </w:r>
      <w:r>
        <w:rPr>
          <w:rFonts w:cs="Times New Roman"/>
          <w:color w:val="000000" w:themeColor="text1"/>
        </w:rPr>
        <w:t xml:space="preserve">  Congress had no data indicating that real-property debtors that otherwise would qualify for small business treatment were more successful in chapter 11 than other small business owners.  The legislative histories for BAPCPA and for the 1994 amendments – when Congress created the small business election – offer no insight as to why Congress carved out these debtors from the pool of potential small business cases.</w:t>
      </w:r>
      <w:r>
        <w:rPr>
          <w:rStyle w:val="FootnoteReference"/>
          <w:rFonts w:cs="Times New Roman"/>
          <w:color w:val="000000" w:themeColor="text1"/>
        </w:rPr>
        <w:footnoteReference w:id="31"/>
      </w:r>
      <w:r>
        <w:rPr>
          <w:rFonts w:cs="Times New Roman"/>
          <w:color w:val="000000" w:themeColor="text1"/>
        </w:rPr>
        <w:t xml:space="preserve"> </w:t>
      </w:r>
    </w:p>
    <w:p w:rsidR="00886584" w:rsidRDefault="00886584" w:rsidP="00886584">
      <w:pPr>
        <w:rPr>
          <w:rFonts w:cs="Times New Roman"/>
          <w:color w:val="000000" w:themeColor="text1"/>
        </w:rPr>
      </w:pPr>
    </w:p>
    <w:p w:rsidR="00886584" w:rsidRPr="00292FDE" w:rsidRDefault="00292FDE" w:rsidP="00292FDE">
      <w:pPr>
        <w:tabs>
          <w:tab w:val="left" w:pos="720"/>
        </w:tabs>
        <w:ind w:left="720" w:hanging="720"/>
        <w:rPr>
          <w:rFonts w:cs="Times New Roman"/>
          <w:i/>
          <w:color w:val="000000" w:themeColor="text1"/>
        </w:rPr>
      </w:pPr>
      <w:r>
        <w:rPr>
          <w:rFonts w:cs="Times New Roman"/>
          <w:i/>
          <w:color w:val="000000" w:themeColor="text1"/>
        </w:rPr>
        <w:lastRenderedPageBreak/>
        <w:t>4.</w:t>
      </w:r>
      <w:r>
        <w:rPr>
          <w:rFonts w:cs="Times New Roman"/>
          <w:i/>
          <w:color w:val="000000" w:themeColor="text1"/>
        </w:rPr>
        <w:tab/>
      </w:r>
      <w:r w:rsidR="00886584" w:rsidRPr="00292FDE">
        <w:rPr>
          <w:rFonts w:cs="Times New Roman"/>
          <w:i/>
          <w:color w:val="000000" w:themeColor="text1"/>
        </w:rPr>
        <w:t>United States Trustee and Bankruptcy Administrators</w:t>
      </w:r>
    </w:p>
    <w:p w:rsidR="00886584" w:rsidRDefault="00886584" w:rsidP="00886584">
      <w:pPr>
        <w:rPr>
          <w:rFonts w:cs="Times New Roman"/>
          <w:color w:val="000000" w:themeColor="text1"/>
        </w:rPr>
      </w:pPr>
      <w:r>
        <w:rPr>
          <w:rFonts w:cs="Times New Roman"/>
          <w:color w:val="000000" w:themeColor="text1"/>
        </w:rPr>
        <w:t xml:space="preserve">The Code’s small business debtor definition excludes from its coverage any case in which the United States trustee has appointed an active and representative committee of unsecured creditors. The problem is that the United States trustee does not operate in the six judicial districts in North Carolina and Alabama. Suppose a debtor with $2 million in liabilities files for chapter 11 in the Southern District of Alabama. If the Bankruptcy Administrator recommends and the bankruptcy court appoints an official creditors’ committee in the case, the Code says that the case is a small business case because the United States trustee “has not appointed” the committee. </w:t>
      </w:r>
    </w:p>
    <w:p w:rsidR="00886584" w:rsidRPr="003E490F" w:rsidRDefault="00886584" w:rsidP="00886584">
      <w:pPr>
        <w:rPr>
          <w:rFonts w:cs="Times New Roman"/>
          <w:color w:val="000000" w:themeColor="text1"/>
        </w:rPr>
      </w:pPr>
      <w:r>
        <w:rPr>
          <w:rFonts w:cs="Times New Roman"/>
          <w:color w:val="000000" w:themeColor="text1"/>
        </w:rPr>
        <w:t xml:space="preserve">This language no doubt is a drafting error. Congress was concerned with the lack of oversight in small business cases, not with the mechanics of creditor committee appointment. </w:t>
      </w:r>
    </w:p>
    <w:p w:rsidR="009B775B" w:rsidRDefault="004A02BD" w:rsidP="0058443E">
      <w:pPr>
        <w:spacing w:after="0"/>
        <w:jc w:val="center"/>
        <w:rPr>
          <w:rFonts w:cs="Times New Roman"/>
          <w:b/>
          <w:color w:val="000000" w:themeColor="text1"/>
        </w:rPr>
      </w:pPr>
      <w:r>
        <w:rPr>
          <w:rFonts w:cs="Times New Roman"/>
          <w:b/>
          <w:color w:val="000000" w:themeColor="text1"/>
        </w:rPr>
        <w:t xml:space="preserve">Part II - </w:t>
      </w:r>
      <w:r w:rsidR="009B775B">
        <w:rPr>
          <w:rFonts w:cs="Times New Roman"/>
          <w:b/>
          <w:color w:val="000000" w:themeColor="text1"/>
        </w:rPr>
        <w:t>BAPCPA’s Small Business Time Frames</w:t>
      </w:r>
    </w:p>
    <w:p w:rsidR="009B775B" w:rsidRDefault="009B775B" w:rsidP="00632501">
      <w:pPr>
        <w:pStyle w:val="ListParagraph"/>
        <w:spacing w:after="200" w:line="276" w:lineRule="auto"/>
        <w:ind w:left="0"/>
        <w:rPr>
          <w:rFonts w:ascii="Garamond" w:hAnsi="Garamond" w:cs="Times New Roman"/>
          <w:color w:val="000000" w:themeColor="text1"/>
        </w:rPr>
      </w:pPr>
      <w:r>
        <w:rPr>
          <w:rFonts w:ascii="Garamond" w:hAnsi="Garamond" w:cs="Times New Roman"/>
          <w:color w:val="000000" w:themeColor="text1"/>
        </w:rPr>
        <w:t xml:space="preserve">The empirical evidence shows that more than half of all </w:t>
      </w:r>
      <w:r w:rsidR="00DD2DA6">
        <w:rPr>
          <w:rFonts w:ascii="Garamond" w:hAnsi="Garamond" w:cs="Times New Roman"/>
          <w:color w:val="000000" w:themeColor="text1"/>
        </w:rPr>
        <w:t xml:space="preserve">chapter 11 </w:t>
      </w:r>
      <w:r>
        <w:rPr>
          <w:rFonts w:ascii="Garamond" w:hAnsi="Garamond" w:cs="Times New Roman"/>
          <w:color w:val="000000" w:themeColor="text1"/>
        </w:rPr>
        <w:t xml:space="preserve">cases </w:t>
      </w:r>
      <w:r w:rsidR="00DD2DA6">
        <w:rPr>
          <w:rFonts w:ascii="Garamond" w:hAnsi="Garamond" w:cs="Times New Roman"/>
          <w:color w:val="000000" w:themeColor="text1"/>
        </w:rPr>
        <w:t xml:space="preserve">filed pre-BAPCPA </w:t>
      </w:r>
      <w:r>
        <w:rPr>
          <w:rFonts w:ascii="Garamond" w:hAnsi="Garamond" w:cs="Times New Roman"/>
          <w:color w:val="000000" w:themeColor="text1"/>
        </w:rPr>
        <w:t>were dismi</w:t>
      </w:r>
      <w:r w:rsidR="00AA241B">
        <w:rPr>
          <w:rFonts w:ascii="Garamond" w:hAnsi="Garamond" w:cs="Times New Roman"/>
          <w:color w:val="000000" w:themeColor="text1"/>
        </w:rPr>
        <w:t xml:space="preserve">ssed, converted, or had </w:t>
      </w:r>
      <w:r>
        <w:rPr>
          <w:rFonts w:ascii="Garamond" w:hAnsi="Garamond" w:cs="Times New Roman"/>
          <w:color w:val="000000" w:themeColor="text1"/>
        </w:rPr>
        <w:t xml:space="preserve">plans </w:t>
      </w:r>
      <w:r w:rsidR="00AA241B">
        <w:rPr>
          <w:rFonts w:ascii="Garamond" w:hAnsi="Garamond" w:cs="Times New Roman"/>
          <w:color w:val="000000" w:themeColor="text1"/>
        </w:rPr>
        <w:t xml:space="preserve">confirmed </w:t>
      </w:r>
      <w:r>
        <w:rPr>
          <w:rFonts w:ascii="Garamond" w:hAnsi="Garamond" w:cs="Times New Roman"/>
          <w:color w:val="000000" w:themeColor="text1"/>
        </w:rPr>
        <w:t xml:space="preserve">within 300 days of the order for relief.  In addition, between 63% and 67% of the pre-BAPCPA chapter 11 cases reached initial disposition, i.e., plan confirmation, conversion, or dismissal, within one year of the order for relief.  Given the speed with which bankruptcy courts disposed of chapter 11 cases pre-BAPCPA, it is unclear what </w:t>
      </w:r>
      <w:r w:rsidR="00DD2DA6">
        <w:rPr>
          <w:rFonts w:ascii="Garamond" w:hAnsi="Garamond" w:cs="Times New Roman"/>
          <w:color w:val="000000" w:themeColor="text1"/>
        </w:rPr>
        <w:t xml:space="preserve">problem Congress was solving by imposing the </w:t>
      </w:r>
      <w:r>
        <w:rPr>
          <w:rFonts w:ascii="Garamond" w:hAnsi="Garamond" w:cs="Times New Roman"/>
          <w:color w:val="000000" w:themeColor="text1"/>
        </w:rPr>
        <w:t xml:space="preserve">300-day plan-proposal deadline </w:t>
      </w:r>
      <w:r w:rsidR="00DD2DA6">
        <w:rPr>
          <w:rFonts w:ascii="Garamond" w:hAnsi="Garamond" w:cs="Times New Roman"/>
          <w:color w:val="000000" w:themeColor="text1"/>
        </w:rPr>
        <w:t xml:space="preserve">now codified </w:t>
      </w:r>
      <w:r w:rsidR="00AA241B">
        <w:rPr>
          <w:rFonts w:ascii="Garamond" w:hAnsi="Garamond" w:cs="Times New Roman"/>
          <w:color w:val="000000" w:themeColor="text1"/>
        </w:rPr>
        <w:t>at</w:t>
      </w:r>
      <w:r w:rsidR="00DD2DA6">
        <w:rPr>
          <w:rFonts w:ascii="Garamond" w:hAnsi="Garamond" w:cs="Times New Roman"/>
          <w:color w:val="000000" w:themeColor="text1"/>
        </w:rPr>
        <w:t xml:space="preserve"> §1121(e)(2). </w:t>
      </w:r>
      <w:r>
        <w:rPr>
          <w:rFonts w:ascii="Garamond" w:hAnsi="Garamond" w:cs="Times New Roman"/>
          <w:color w:val="000000" w:themeColor="text1"/>
        </w:rPr>
        <w:t xml:space="preserve"> </w:t>
      </w:r>
    </w:p>
    <w:p w:rsidR="009B775B" w:rsidRDefault="009B775B" w:rsidP="00632501">
      <w:pPr>
        <w:pStyle w:val="ListParagraph"/>
        <w:spacing w:after="200" w:line="276" w:lineRule="auto"/>
        <w:ind w:left="0"/>
        <w:rPr>
          <w:rFonts w:ascii="Garamond" w:hAnsi="Garamond" w:cs="Times New Roman"/>
          <w:color w:val="000000" w:themeColor="text1"/>
        </w:rPr>
      </w:pPr>
    </w:p>
    <w:p w:rsidR="009B775B" w:rsidRDefault="009B775B" w:rsidP="00632501">
      <w:pPr>
        <w:pStyle w:val="ListParagraph"/>
        <w:spacing w:after="200" w:line="276" w:lineRule="auto"/>
        <w:ind w:left="0"/>
        <w:rPr>
          <w:rFonts w:ascii="Garamond" w:hAnsi="Garamond" w:cs="Times New Roman"/>
          <w:color w:val="000000" w:themeColor="text1"/>
        </w:rPr>
      </w:pPr>
      <w:r>
        <w:rPr>
          <w:rFonts w:ascii="Garamond" w:hAnsi="Garamond" w:cs="Times New Roman"/>
          <w:color w:val="000000" w:themeColor="text1"/>
        </w:rPr>
        <w:t xml:space="preserve">The 45-day plan-confirmation deadline is unworkable. Data from </w:t>
      </w:r>
      <w:r w:rsidR="00DD2DA6">
        <w:rPr>
          <w:rFonts w:ascii="Garamond" w:hAnsi="Garamond" w:cs="Times New Roman"/>
          <w:color w:val="000000" w:themeColor="text1"/>
        </w:rPr>
        <w:t xml:space="preserve">the 2004 random sample </w:t>
      </w:r>
      <w:r w:rsidR="00AA241B">
        <w:rPr>
          <w:rFonts w:ascii="Garamond" w:hAnsi="Garamond" w:cs="Times New Roman"/>
          <w:color w:val="000000" w:themeColor="text1"/>
        </w:rPr>
        <w:t>d</w:t>
      </w:r>
      <w:r>
        <w:rPr>
          <w:rFonts w:ascii="Garamond" w:hAnsi="Garamond" w:cs="Times New Roman"/>
          <w:color w:val="000000" w:themeColor="text1"/>
        </w:rPr>
        <w:t>emonstrates that in less than 3% of confirmed-plan cases was a plan confirmed within 45 days of its proposal.  That figure is even more dismal for small business cases; less than 1% of small businesses that confirmed a plan in 2004 did so within 45 days of first-plan proposal.  Had BAPCPA’s 45-day deadline existed in 2004, 1</w:t>
      </w:r>
      <w:r w:rsidR="00AA241B">
        <w:rPr>
          <w:rFonts w:ascii="Garamond" w:hAnsi="Garamond" w:cs="Times New Roman"/>
          <w:color w:val="000000" w:themeColor="text1"/>
        </w:rPr>
        <w:t>12</w:t>
      </w:r>
      <w:r>
        <w:rPr>
          <w:rFonts w:ascii="Garamond" w:hAnsi="Garamond" w:cs="Times New Roman"/>
          <w:color w:val="000000" w:themeColor="text1"/>
        </w:rPr>
        <w:t xml:space="preserve"> small business cases would not have confirmed a plan had debtor’s counsel not sought and the bankruptcy court granted</w:t>
      </w:r>
      <w:r w:rsidR="00DD2DA6">
        <w:rPr>
          <w:rFonts w:ascii="Garamond" w:hAnsi="Garamond" w:cs="Times New Roman"/>
          <w:color w:val="000000" w:themeColor="text1"/>
        </w:rPr>
        <w:t>, pursuant to §1121(e)(3),</w:t>
      </w:r>
      <w:r>
        <w:rPr>
          <w:rFonts w:ascii="Garamond" w:hAnsi="Garamond" w:cs="Times New Roman"/>
          <w:color w:val="000000" w:themeColor="text1"/>
        </w:rPr>
        <w:t xml:space="preserve"> an extension of the 45-day period</w:t>
      </w:r>
      <w:r w:rsidR="00DD2DA6">
        <w:rPr>
          <w:rFonts w:ascii="Garamond" w:hAnsi="Garamond" w:cs="Times New Roman"/>
          <w:color w:val="000000" w:themeColor="text1"/>
        </w:rPr>
        <w:t>.</w:t>
      </w:r>
    </w:p>
    <w:p w:rsidR="009B775B" w:rsidRDefault="009B775B" w:rsidP="009B775B">
      <w:pPr>
        <w:pStyle w:val="ListParagraph"/>
        <w:ind w:left="0"/>
        <w:rPr>
          <w:rFonts w:ascii="Garamond" w:hAnsi="Garamond" w:cs="Times New Roman"/>
          <w:color w:val="000000" w:themeColor="text1"/>
        </w:rPr>
      </w:pPr>
    </w:p>
    <w:p w:rsidR="009B775B" w:rsidRDefault="00DD2DA6" w:rsidP="009B775B">
      <w:pPr>
        <w:pStyle w:val="ListParagraph"/>
        <w:ind w:left="0"/>
        <w:rPr>
          <w:rFonts w:ascii="Garamond" w:hAnsi="Garamond" w:cs="Times New Roman"/>
          <w:color w:val="000000" w:themeColor="text1"/>
          <w:u w:val="single"/>
        </w:rPr>
      </w:pPr>
      <w:r>
        <w:rPr>
          <w:rFonts w:ascii="Garamond" w:hAnsi="Garamond" w:cs="Times New Roman"/>
          <w:color w:val="000000" w:themeColor="text1"/>
        </w:rPr>
        <w:t>A</w:t>
      </w:r>
      <w:r w:rsidR="009B775B">
        <w:rPr>
          <w:rFonts w:ascii="Garamond" w:hAnsi="Garamond" w:cs="Times New Roman"/>
          <w:color w:val="000000" w:themeColor="text1"/>
        </w:rPr>
        <w:t>.</w:t>
      </w:r>
      <w:r w:rsidR="009B775B">
        <w:rPr>
          <w:rFonts w:ascii="Garamond" w:hAnsi="Garamond" w:cs="Times New Roman"/>
          <w:color w:val="000000" w:themeColor="text1"/>
        </w:rPr>
        <w:tab/>
      </w:r>
      <w:r w:rsidR="009B775B">
        <w:rPr>
          <w:rFonts w:ascii="Garamond" w:hAnsi="Garamond" w:cs="Times New Roman"/>
          <w:color w:val="000000" w:themeColor="text1"/>
          <w:u w:val="single"/>
        </w:rPr>
        <w:t>Description of the Problem</w:t>
      </w:r>
    </w:p>
    <w:p w:rsidR="00667547" w:rsidRDefault="00667547" w:rsidP="009B775B">
      <w:pPr>
        <w:pStyle w:val="ListParagraph"/>
        <w:ind w:left="0"/>
        <w:rPr>
          <w:rFonts w:ascii="Garamond" w:hAnsi="Garamond" w:cs="Times New Roman"/>
          <w:color w:val="000000" w:themeColor="text1"/>
          <w:u w:val="single"/>
        </w:rPr>
      </w:pPr>
    </w:p>
    <w:p w:rsidR="009B775B" w:rsidRDefault="009B775B" w:rsidP="00632501">
      <w:pPr>
        <w:pStyle w:val="ListParagraph"/>
        <w:spacing w:line="276" w:lineRule="auto"/>
        <w:ind w:left="0"/>
        <w:rPr>
          <w:rFonts w:ascii="Garamond" w:hAnsi="Garamond" w:cs="Times New Roman"/>
          <w:color w:val="000000" w:themeColor="text1"/>
        </w:rPr>
      </w:pPr>
      <w:r w:rsidRPr="00E51EFD">
        <w:rPr>
          <w:rFonts w:ascii="Garamond" w:hAnsi="Garamond" w:cs="Times New Roman"/>
          <w:color w:val="000000" w:themeColor="text1"/>
        </w:rPr>
        <w:t>With</w:t>
      </w:r>
      <w:r>
        <w:rPr>
          <w:rFonts w:ascii="Garamond" w:hAnsi="Garamond" w:cs="Times New Roman"/>
          <w:color w:val="000000" w:themeColor="text1"/>
        </w:rPr>
        <w:t xml:space="preserve"> BAPCPA, Congress created plan-proposal and plan-confirmation time frames applicable only to small business debtors.  The small business debtor has a 180-day exclusivity period compared with the 120-day period for non-small business debtors.</w:t>
      </w:r>
      <w:r>
        <w:rPr>
          <w:rStyle w:val="FootnoteReference"/>
          <w:rFonts w:ascii="Garamond" w:hAnsi="Garamond" w:cs="Times New Roman"/>
          <w:color w:val="000000" w:themeColor="text1"/>
        </w:rPr>
        <w:footnoteReference w:id="32"/>
      </w:r>
      <w:r>
        <w:rPr>
          <w:rFonts w:ascii="Garamond" w:hAnsi="Garamond" w:cs="Times New Roman"/>
          <w:color w:val="000000" w:themeColor="text1"/>
        </w:rPr>
        <w:t xml:space="preserve">  The longer exclusivity period, however, is the only time provision in BAPCPA that favors small business debtors.  </w:t>
      </w:r>
    </w:p>
    <w:p w:rsidR="009B775B" w:rsidRDefault="009B775B" w:rsidP="009B775B">
      <w:pPr>
        <w:pStyle w:val="ListParagraph"/>
        <w:ind w:left="0"/>
        <w:rPr>
          <w:rFonts w:ascii="Garamond" w:hAnsi="Garamond" w:cs="Times New Roman"/>
          <w:color w:val="000000" w:themeColor="text1"/>
        </w:rPr>
      </w:pPr>
    </w:p>
    <w:p w:rsidR="009B775B" w:rsidRDefault="009B775B" w:rsidP="00632501">
      <w:pPr>
        <w:pStyle w:val="ListParagraph"/>
        <w:spacing w:line="276" w:lineRule="auto"/>
        <w:ind w:left="0"/>
        <w:rPr>
          <w:rFonts w:ascii="Garamond" w:hAnsi="Garamond" w:cs="Times New Roman"/>
          <w:color w:val="000000" w:themeColor="text1"/>
        </w:rPr>
      </w:pPr>
      <w:r>
        <w:rPr>
          <w:rFonts w:ascii="Garamond" w:hAnsi="Garamond" w:cs="Times New Roman"/>
          <w:color w:val="000000" w:themeColor="text1"/>
        </w:rPr>
        <w:t>The Code provides that in a small business case, “the plan and a disclosure statement (if any) shall be filed not later than 300 days after the date of the order for relief.”</w:t>
      </w:r>
      <w:r>
        <w:rPr>
          <w:rStyle w:val="FootnoteReference"/>
          <w:rFonts w:ascii="Garamond" w:hAnsi="Garamond" w:cs="Times New Roman"/>
          <w:color w:val="000000" w:themeColor="text1"/>
        </w:rPr>
        <w:footnoteReference w:id="33"/>
      </w:r>
      <w:r>
        <w:rPr>
          <w:rFonts w:ascii="Garamond" w:hAnsi="Garamond" w:cs="Times New Roman"/>
          <w:color w:val="000000" w:themeColor="text1"/>
        </w:rPr>
        <w:t xml:space="preserve"> The Code also provides that in a small business case the bankruptcy court must confirm the plan “no later than 45 days after the </w:t>
      </w:r>
      <w:r>
        <w:rPr>
          <w:rFonts w:ascii="Garamond" w:hAnsi="Garamond" w:cs="Times New Roman"/>
          <w:color w:val="000000" w:themeColor="text1"/>
        </w:rPr>
        <w:lastRenderedPageBreak/>
        <w:t>plan is filed.”</w:t>
      </w:r>
      <w:r>
        <w:rPr>
          <w:rStyle w:val="FootnoteReference"/>
          <w:rFonts w:ascii="Garamond" w:hAnsi="Garamond" w:cs="Times New Roman"/>
          <w:color w:val="000000" w:themeColor="text1"/>
        </w:rPr>
        <w:footnoteReference w:id="34"/>
      </w:r>
      <w:r>
        <w:rPr>
          <w:rFonts w:ascii="Garamond" w:hAnsi="Garamond" w:cs="Times New Roman"/>
          <w:color w:val="000000" w:themeColor="text1"/>
        </w:rPr>
        <w:t xml:space="preserve"> Neither the 300-day plan-proposal nor the 45-day plan-confirmation time frame applies to a non-small business debtor.  </w:t>
      </w:r>
    </w:p>
    <w:p w:rsidR="009B775B" w:rsidRDefault="009B775B" w:rsidP="00632501">
      <w:pPr>
        <w:pStyle w:val="ListParagraph"/>
        <w:spacing w:line="276" w:lineRule="auto"/>
        <w:ind w:left="0"/>
        <w:rPr>
          <w:rFonts w:ascii="Garamond" w:hAnsi="Garamond" w:cs="Times New Roman"/>
          <w:color w:val="000000" w:themeColor="text1"/>
        </w:rPr>
      </w:pPr>
    </w:p>
    <w:p w:rsidR="009B775B" w:rsidRDefault="009B775B" w:rsidP="009B775B">
      <w:pPr>
        <w:rPr>
          <w:rFonts w:cs="Times New Roman"/>
          <w:color w:val="000000" w:themeColor="text1"/>
        </w:rPr>
      </w:pPr>
      <w:r>
        <w:rPr>
          <w:rFonts w:cs="Times New Roman"/>
          <w:color w:val="000000" w:themeColor="text1"/>
        </w:rPr>
        <w:t>The bankruptcy court may extend the 300-day and/or the 45-day periods, but the extension order must be signed prior to the expiration of the relevant time frame.</w:t>
      </w:r>
      <w:r>
        <w:rPr>
          <w:rStyle w:val="FootnoteReference"/>
          <w:rFonts w:cs="Times New Roman"/>
          <w:color w:val="000000" w:themeColor="text1"/>
        </w:rPr>
        <w:footnoteReference w:id="35"/>
      </w:r>
      <w:r>
        <w:rPr>
          <w:rFonts w:cs="Times New Roman"/>
          <w:color w:val="000000" w:themeColor="text1"/>
        </w:rPr>
        <w:t xml:space="preserve"> The debtor also must demonstrate by a preponderance of the evidence that “it is more likely than not that the court will confirm a plan within a reasonable time frame.”</w:t>
      </w:r>
      <w:r>
        <w:rPr>
          <w:rStyle w:val="FootnoteReference"/>
          <w:rFonts w:cs="Times New Roman"/>
          <w:color w:val="000000" w:themeColor="text1"/>
        </w:rPr>
        <w:footnoteReference w:id="36"/>
      </w:r>
      <w:r>
        <w:rPr>
          <w:rFonts w:cs="Times New Roman"/>
          <w:color w:val="000000" w:themeColor="text1"/>
        </w:rPr>
        <w:t xml:space="preserve"> </w:t>
      </w:r>
    </w:p>
    <w:p w:rsidR="009B775B" w:rsidRDefault="009B775B" w:rsidP="009B775B">
      <w:pPr>
        <w:rPr>
          <w:rFonts w:cs="Times New Roman"/>
          <w:color w:val="000000" w:themeColor="text1"/>
        </w:rPr>
      </w:pPr>
      <w:r>
        <w:rPr>
          <w:rFonts w:cs="Times New Roman"/>
          <w:color w:val="000000" w:themeColor="text1"/>
        </w:rPr>
        <w:t>As one bankruptcy court observed, the interplay of the 300-day and 45-day deadlines creates “virtually insurmountable obstacles, particularly when the plan is amended after filing.”</w:t>
      </w:r>
      <w:r>
        <w:rPr>
          <w:rStyle w:val="FootnoteReference"/>
          <w:rFonts w:cs="Times New Roman"/>
          <w:color w:val="000000" w:themeColor="text1"/>
        </w:rPr>
        <w:footnoteReference w:id="37"/>
      </w:r>
      <w:r>
        <w:rPr>
          <w:rFonts w:cs="Times New Roman"/>
          <w:color w:val="000000" w:themeColor="text1"/>
        </w:rPr>
        <w:t xml:space="preserve">  For example, if the bankruptcy court does not combine the hearing on the disclosure statement with that for plan confirmation,</w:t>
      </w:r>
      <w:r>
        <w:rPr>
          <w:rStyle w:val="FootnoteReference"/>
          <w:rFonts w:cs="Times New Roman"/>
          <w:color w:val="000000" w:themeColor="text1"/>
        </w:rPr>
        <w:footnoteReference w:id="38"/>
      </w:r>
      <w:r>
        <w:rPr>
          <w:rFonts w:cs="Times New Roman"/>
          <w:color w:val="000000" w:themeColor="text1"/>
        </w:rPr>
        <w:t xml:space="preserve"> </w:t>
      </w:r>
      <w:r w:rsidRPr="00F807F8">
        <w:t>“there is absolutely no possibility of even considering confirmation within the 45-day period”</w:t>
      </w:r>
      <w:r>
        <w:rPr>
          <w:rFonts w:cs="Times New Roman"/>
          <w:color w:val="000000" w:themeColor="text1"/>
        </w:rPr>
        <w:t xml:space="preserve"> given the Bankruptcy Rules’ 28-day notice period.</w:t>
      </w:r>
      <w:r>
        <w:rPr>
          <w:rStyle w:val="FootnoteReference"/>
          <w:rFonts w:cs="Times New Roman"/>
          <w:color w:val="000000" w:themeColor="text1"/>
        </w:rPr>
        <w:footnoteReference w:id="39"/>
      </w:r>
      <w:r>
        <w:rPr>
          <w:rFonts w:cs="Times New Roman"/>
          <w:color w:val="000000" w:themeColor="text1"/>
        </w:rPr>
        <w:t xml:space="preserve"> But, as one bankruptcy court observed, “[t]he notion that a debtor must routinely file a motion to extend time for confirmation </w:t>
      </w:r>
      <w:r>
        <w:rPr>
          <w:rFonts w:cs="Times New Roman"/>
          <w:i/>
          <w:color w:val="000000" w:themeColor="text1"/>
        </w:rPr>
        <w:t xml:space="preserve">with </w:t>
      </w:r>
      <w:r>
        <w:rPr>
          <w:rFonts w:cs="Times New Roman"/>
          <w:color w:val="000000" w:themeColor="text1"/>
        </w:rPr>
        <w:t>its plan produces less efficiency rather than more.”</w:t>
      </w:r>
      <w:r>
        <w:rPr>
          <w:rStyle w:val="FootnoteReference"/>
          <w:rFonts w:cs="Times New Roman"/>
          <w:color w:val="000000" w:themeColor="text1"/>
        </w:rPr>
        <w:footnoteReference w:id="40"/>
      </w:r>
      <w:r>
        <w:rPr>
          <w:rFonts w:cs="Times New Roman"/>
          <w:color w:val="000000" w:themeColor="text1"/>
        </w:rPr>
        <w:t xml:space="preserve"> </w:t>
      </w:r>
    </w:p>
    <w:p w:rsidR="009B775B" w:rsidRDefault="009B775B" w:rsidP="009B775B">
      <w:pPr>
        <w:rPr>
          <w:rFonts w:cs="Times New Roman"/>
          <w:color w:val="000000" w:themeColor="text1"/>
        </w:rPr>
      </w:pPr>
      <w:r>
        <w:rPr>
          <w:rFonts w:cs="Times New Roman"/>
          <w:color w:val="000000" w:themeColor="text1"/>
        </w:rPr>
        <w:t>These two provisions have created “interpretive problems for the courts . . . and traps for unwary counsel.”</w:t>
      </w:r>
      <w:r>
        <w:rPr>
          <w:rStyle w:val="FootnoteReference"/>
          <w:rFonts w:cs="Times New Roman"/>
          <w:color w:val="000000" w:themeColor="text1"/>
        </w:rPr>
        <w:footnoteReference w:id="41"/>
      </w:r>
      <w:r>
        <w:rPr>
          <w:rFonts w:cs="Times New Roman"/>
          <w:color w:val="000000" w:themeColor="text1"/>
        </w:rPr>
        <w:t xml:space="preserve">  The interpretation issues are legion, and the courts are not of one mind on many of the questions raised by BAPCPA’s new time frames. Some of those questions include the following:</w:t>
      </w:r>
    </w:p>
    <w:p w:rsidR="009B775B" w:rsidRDefault="009B775B" w:rsidP="009B775B">
      <w:pPr>
        <w:pStyle w:val="ListParagraph"/>
        <w:numPr>
          <w:ilvl w:val="0"/>
          <w:numId w:val="1"/>
        </w:numPr>
        <w:rPr>
          <w:rFonts w:ascii="Garamond" w:hAnsi="Garamond" w:cs="Times New Roman"/>
          <w:color w:val="000000" w:themeColor="text1"/>
        </w:rPr>
      </w:pPr>
      <w:r>
        <w:rPr>
          <w:rFonts w:ascii="Garamond" w:hAnsi="Garamond" w:cs="Times New Roman"/>
          <w:color w:val="000000" w:themeColor="text1"/>
        </w:rPr>
        <w:t xml:space="preserve">If a small business debtor improperly designates itself as a non-small business debtor on the petition and the U.S. trustee or other party in interest successfully challenges that designation, does the 300-day plan-proposal period run from the order for relief </w:t>
      </w:r>
      <w:r>
        <w:rPr>
          <w:rFonts w:ascii="Garamond" w:hAnsi="Garamond" w:cs="Times New Roman"/>
          <w:i/>
          <w:color w:val="000000" w:themeColor="text1"/>
        </w:rPr>
        <w:t xml:space="preserve">or </w:t>
      </w:r>
      <w:r>
        <w:rPr>
          <w:rFonts w:ascii="Garamond" w:hAnsi="Garamond" w:cs="Times New Roman"/>
          <w:color w:val="000000" w:themeColor="text1"/>
        </w:rPr>
        <w:t>from the date on which the bankruptcy court determines that the debtor is indeed a small business debtor?</w:t>
      </w:r>
      <w:r>
        <w:rPr>
          <w:rStyle w:val="FootnoteReference"/>
          <w:rFonts w:ascii="Garamond" w:hAnsi="Garamond" w:cs="Times New Roman"/>
          <w:color w:val="000000" w:themeColor="text1"/>
        </w:rPr>
        <w:footnoteReference w:id="42"/>
      </w:r>
      <w:r>
        <w:rPr>
          <w:rFonts w:ascii="Garamond" w:hAnsi="Garamond" w:cs="Times New Roman"/>
          <w:color w:val="000000" w:themeColor="text1"/>
        </w:rPr>
        <w:t xml:space="preserve"> </w:t>
      </w:r>
    </w:p>
    <w:p w:rsidR="009B775B" w:rsidRDefault="009B775B" w:rsidP="009B775B">
      <w:pPr>
        <w:pStyle w:val="ListParagraph"/>
        <w:numPr>
          <w:ilvl w:val="0"/>
          <w:numId w:val="1"/>
        </w:numPr>
        <w:rPr>
          <w:rFonts w:ascii="Garamond" w:hAnsi="Garamond" w:cs="Times New Roman"/>
          <w:color w:val="000000" w:themeColor="text1"/>
        </w:rPr>
      </w:pPr>
      <w:r>
        <w:rPr>
          <w:rFonts w:ascii="Garamond" w:hAnsi="Garamond" w:cs="Times New Roman"/>
          <w:color w:val="000000" w:themeColor="text1"/>
        </w:rPr>
        <w:lastRenderedPageBreak/>
        <w:t>Does the 300-day deadline apply only to the small business debtor or does it also apply to any party in interest in the small business case?</w:t>
      </w:r>
      <w:r>
        <w:rPr>
          <w:rStyle w:val="FootnoteReference"/>
          <w:rFonts w:ascii="Garamond" w:hAnsi="Garamond" w:cs="Times New Roman"/>
          <w:color w:val="000000" w:themeColor="text1"/>
        </w:rPr>
        <w:footnoteReference w:id="43"/>
      </w:r>
    </w:p>
    <w:p w:rsidR="009B775B" w:rsidRDefault="009B775B" w:rsidP="009B775B">
      <w:pPr>
        <w:pStyle w:val="ListParagraph"/>
        <w:numPr>
          <w:ilvl w:val="0"/>
          <w:numId w:val="1"/>
        </w:numPr>
        <w:rPr>
          <w:rFonts w:ascii="Garamond" w:hAnsi="Garamond" w:cs="Times New Roman"/>
          <w:color w:val="000000" w:themeColor="text1"/>
        </w:rPr>
      </w:pPr>
      <w:r>
        <w:rPr>
          <w:rFonts w:ascii="Garamond" w:hAnsi="Garamond" w:cs="Times New Roman"/>
          <w:color w:val="000000" w:themeColor="text1"/>
        </w:rPr>
        <w:t>Is the debtor’s only obligation to “submit any plan within 300 days, and after doing so, debtor can submit plans after 300 days if none have been confirmed?”</w:t>
      </w:r>
      <w:r>
        <w:rPr>
          <w:rStyle w:val="FootnoteReference"/>
          <w:rFonts w:ascii="Garamond" w:hAnsi="Garamond" w:cs="Times New Roman"/>
          <w:color w:val="000000" w:themeColor="text1"/>
        </w:rPr>
        <w:footnoteReference w:id="44"/>
      </w:r>
      <w:r>
        <w:rPr>
          <w:rFonts w:ascii="Garamond" w:hAnsi="Garamond" w:cs="Times New Roman"/>
          <w:color w:val="000000" w:themeColor="text1"/>
        </w:rPr>
        <w:t xml:space="preserve">  In other words, does the 300-day plan-proposal period apply to amended plans or only to the debtor’s initially filed plan?</w:t>
      </w:r>
      <w:r>
        <w:rPr>
          <w:rStyle w:val="FootnoteReference"/>
          <w:rFonts w:ascii="Garamond" w:hAnsi="Garamond" w:cs="Times New Roman"/>
          <w:color w:val="000000" w:themeColor="text1"/>
        </w:rPr>
        <w:footnoteReference w:id="45"/>
      </w:r>
    </w:p>
    <w:p w:rsidR="009B775B" w:rsidRDefault="009B775B" w:rsidP="009B775B">
      <w:pPr>
        <w:pStyle w:val="ListParagraph"/>
        <w:numPr>
          <w:ilvl w:val="0"/>
          <w:numId w:val="1"/>
        </w:numPr>
        <w:rPr>
          <w:rFonts w:ascii="Garamond" w:hAnsi="Garamond" w:cs="Times New Roman"/>
          <w:color w:val="000000" w:themeColor="text1"/>
        </w:rPr>
      </w:pPr>
      <w:r>
        <w:rPr>
          <w:rFonts w:ascii="Garamond" w:hAnsi="Garamond" w:cs="Times New Roman"/>
          <w:color w:val="000000" w:themeColor="text1"/>
        </w:rPr>
        <w:t>Does failure to propose a plan within 300 days of the order for relief mandate dismissal of the small business case?</w:t>
      </w:r>
      <w:r>
        <w:rPr>
          <w:rStyle w:val="FootnoteReference"/>
          <w:rFonts w:ascii="Garamond" w:hAnsi="Garamond" w:cs="Times New Roman"/>
          <w:color w:val="000000" w:themeColor="text1"/>
        </w:rPr>
        <w:footnoteReference w:id="46"/>
      </w:r>
    </w:p>
    <w:p w:rsidR="009B775B" w:rsidRDefault="009B775B" w:rsidP="009B775B">
      <w:pPr>
        <w:pStyle w:val="ListParagraph"/>
        <w:numPr>
          <w:ilvl w:val="0"/>
          <w:numId w:val="1"/>
        </w:numPr>
        <w:rPr>
          <w:rFonts w:ascii="Garamond" w:hAnsi="Garamond" w:cs="Times New Roman"/>
          <w:color w:val="000000" w:themeColor="text1"/>
        </w:rPr>
      </w:pPr>
      <w:r>
        <w:rPr>
          <w:rFonts w:ascii="Garamond" w:hAnsi="Garamond" w:cs="Times New Roman"/>
          <w:color w:val="000000" w:themeColor="text1"/>
        </w:rPr>
        <w:t>Does failure to confirm a plan within 45 days of plan proposal mandate dismissal of the small business case?</w:t>
      </w:r>
      <w:r>
        <w:rPr>
          <w:rStyle w:val="FootnoteReference"/>
          <w:rFonts w:ascii="Garamond" w:hAnsi="Garamond" w:cs="Times New Roman"/>
          <w:color w:val="000000" w:themeColor="text1"/>
        </w:rPr>
        <w:footnoteReference w:id="47"/>
      </w:r>
    </w:p>
    <w:p w:rsidR="009B775B" w:rsidRDefault="009B775B" w:rsidP="009B775B">
      <w:pPr>
        <w:pStyle w:val="ListParagraph"/>
        <w:numPr>
          <w:ilvl w:val="0"/>
          <w:numId w:val="1"/>
        </w:numPr>
        <w:rPr>
          <w:rFonts w:ascii="Garamond" w:hAnsi="Garamond" w:cs="Times New Roman"/>
          <w:color w:val="000000" w:themeColor="text1"/>
        </w:rPr>
      </w:pPr>
      <w:r>
        <w:rPr>
          <w:rFonts w:ascii="Garamond" w:hAnsi="Garamond" w:cs="Times New Roman"/>
          <w:color w:val="000000" w:themeColor="text1"/>
        </w:rPr>
        <w:t>Does filing an amended plan within the 300-day plan-proposal period re-set the 45-day clock for plan confirmation?</w:t>
      </w:r>
      <w:r>
        <w:rPr>
          <w:rStyle w:val="FootnoteReference"/>
          <w:rFonts w:ascii="Garamond" w:hAnsi="Garamond" w:cs="Times New Roman"/>
          <w:color w:val="000000" w:themeColor="text1"/>
        </w:rPr>
        <w:footnoteReference w:id="48"/>
      </w:r>
    </w:p>
    <w:p w:rsidR="009B775B" w:rsidRDefault="009B775B" w:rsidP="00001FA4">
      <w:pPr>
        <w:pStyle w:val="ListParagraph"/>
        <w:numPr>
          <w:ilvl w:val="0"/>
          <w:numId w:val="1"/>
        </w:numPr>
        <w:rPr>
          <w:rFonts w:ascii="Garamond" w:hAnsi="Garamond" w:cs="Times New Roman"/>
          <w:color w:val="000000" w:themeColor="text1"/>
        </w:rPr>
      </w:pPr>
      <w:r>
        <w:rPr>
          <w:rFonts w:ascii="Garamond" w:hAnsi="Garamond" w:cs="Times New Roman"/>
          <w:color w:val="000000" w:themeColor="text1"/>
        </w:rPr>
        <w:lastRenderedPageBreak/>
        <w:t>May a court extend the 45-day plan-confirmation period absent entry of a signed order within those 45 days?</w:t>
      </w:r>
      <w:r>
        <w:rPr>
          <w:rStyle w:val="FootnoteReference"/>
          <w:rFonts w:ascii="Garamond" w:hAnsi="Garamond" w:cs="Times New Roman"/>
          <w:color w:val="000000" w:themeColor="text1"/>
        </w:rPr>
        <w:footnoteReference w:id="49"/>
      </w:r>
      <w:r>
        <w:rPr>
          <w:rFonts w:ascii="Garamond" w:hAnsi="Garamond" w:cs="Times New Roman"/>
          <w:color w:val="000000" w:themeColor="text1"/>
        </w:rPr>
        <w:t xml:space="preserve">  </w:t>
      </w:r>
    </w:p>
    <w:p w:rsidR="00001FA4" w:rsidRDefault="00001FA4" w:rsidP="00001FA4">
      <w:pPr>
        <w:spacing w:after="0"/>
        <w:rPr>
          <w:rFonts w:cs="Times New Roman"/>
          <w:color w:val="000000" w:themeColor="text1"/>
        </w:rPr>
      </w:pPr>
    </w:p>
    <w:p w:rsidR="009B775B" w:rsidRDefault="009B775B" w:rsidP="00001FA4">
      <w:pPr>
        <w:spacing w:after="0"/>
        <w:rPr>
          <w:rFonts w:cs="Times New Roman"/>
          <w:color w:val="000000" w:themeColor="text1"/>
        </w:rPr>
      </w:pPr>
      <w:r>
        <w:rPr>
          <w:rFonts w:cs="Times New Roman"/>
          <w:color w:val="000000" w:themeColor="text1"/>
        </w:rPr>
        <w:t>Having bankruptcy courts determine the answers to these questions on a case-by-case basis undermines both uniformity and efficiency. Before eliminating the deadlines, however, it is important to understand the reasons Congress instituted them in the first place.  If the deadlines are accomplishing Congressional goals, then modifications of the current time frames to achieve greater uniformity may be in order.</w:t>
      </w:r>
    </w:p>
    <w:p w:rsidR="00001FA4" w:rsidRDefault="00001FA4" w:rsidP="00001FA4">
      <w:pPr>
        <w:spacing w:after="0"/>
        <w:rPr>
          <w:rFonts w:cs="Times New Roman"/>
          <w:color w:val="000000" w:themeColor="text1"/>
        </w:rPr>
      </w:pPr>
    </w:p>
    <w:p w:rsidR="009B775B" w:rsidRDefault="00001FA4" w:rsidP="009B775B">
      <w:pPr>
        <w:rPr>
          <w:rFonts w:cs="Times New Roman"/>
          <w:color w:val="000000" w:themeColor="text1"/>
          <w:u w:val="single"/>
        </w:rPr>
      </w:pPr>
      <w:r>
        <w:rPr>
          <w:rFonts w:cs="Times New Roman"/>
          <w:color w:val="000000" w:themeColor="text1"/>
        </w:rPr>
        <w:t>B</w:t>
      </w:r>
      <w:r w:rsidR="009B775B">
        <w:rPr>
          <w:rFonts w:cs="Times New Roman"/>
          <w:color w:val="000000" w:themeColor="text1"/>
        </w:rPr>
        <w:t>.</w:t>
      </w:r>
      <w:r w:rsidR="009B775B">
        <w:rPr>
          <w:rFonts w:cs="Times New Roman"/>
          <w:color w:val="000000" w:themeColor="text1"/>
        </w:rPr>
        <w:tab/>
      </w:r>
      <w:r w:rsidR="009B775B">
        <w:rPr>
          <w:rFonts w:cs="Times New Roman"/>
          <w:color w:val="000000" w:themeColor="text1"/>
          <w:u w:val="single"/>
        </w:rPr>
        <w:t>The Legislative History</w:t>
      </w:r>
    </w:p>
    <w:p w:rsidR="009B775B" w:rsidRPr="00BB355E" w:rsidRDefault="009B775B" w:rsidP="009B775B">
      <w:pPr>
        <w:rPr>
          <w:rFonts w:cs="Times New Roman"/>
          <w:color w:val="000000" w:themeColor="text1"/>
        </w:rPr>
      </w:pPr>
      <w:r w:rsidRPr="00BB355E">
        <w:rPr>
          <w:rFonts w:cs="Times New Roman"/>
          <w:color w:val="000000" w:themeColor="text1"/>
        </w:rPr>
        <w:t xml:space="preserve">Why did Congress </w:t>
      </w:r>
      <w:r>
        <w:rPr>
          <w:rFonts w:cs="Times New Roman"/>
          <w:color w:val="000000" w:themeColor="text1"/>
        </w:rPr>
        <w:t xml:space="preserve">create the 300-day plan proposal and 45-day plan-confirmation time frames in BAPCPA? </w:t>
      </w:r>
      <w:r w:rsidRPr="00BB355E">
        <w:rPr>
          <w:rFonts w:cs="Times New Roman"/>
          <w:color w:val="000000" w:themeColor="text1"/>
        </w:rPr>
        <w:t xml:space="preserve">The legislative history </w:t>
      </w:r>
      <w:r>
        <w:rPr>
          <w:rFonts w:cs="Times New Roman"/>
          <w:color w:val="000000" w:themeColor="text1"/>
        </w:rPr>
        <w:t xml:space="preserve">provides little guidance. </w:t>
      </w:r>
      <w:r w:rsidRPr="00BB355E">
        <w:rPr>
          <w:rFonts w:cs="Times New Roman"/>
          <w:color w:val="000000" w:themeColor="text1"/>
        </w:rPr>
        <w:t>But, the House Report accompanying BAPCPA states that the bill “includes provisions with respect to small business  . . . debtors largely derived from recommendations of the National Bankruptcy Review Commission</w:t>
      </w:r>
      <w:r w:rsidR="00AA241B">
        <w:rPr>
          <w:rFonts w:cs="Times New Roman"/>
          <w:color w:val="000000" w:themeColor="text1"/>
        </w:rPr>
        <w:t>.</w:t>
      </w:r>
      <w:r w:rsidRPr="00BB355E">
        <w:rPr>
          <w:rFonts w:cs="Times New Roman"/>
          <w:color w:val="000000" w:themeColor="text1"/>
        </w:rPr>
        <w:t>”</w:t>
      </w:r>
      <w:r>
        <w:rPr>
          <w:rStyle w:val="FootnoteReference"/>
          <w:rFonts w:cs="Times New Roman"/>
          <w:color w:val="000000" w:themeColor="text1"/>
        </w:rPr>
        <w:footnoteReference w:id="50"/>
      </w:r>
      <w:r w:rsidRPr="00BB355E">
        <w:rPr>
          <w:rFonts w:cs="Times New Roman"/>
          <w:color w:val="000000" w:themeColor="text1"/>
        </w:rPr>
        <w:t xml:space="preserve"> Thus, judges and commentators often turn to the Commission’s report for guidance. </w:t>
      </w:r>
    </w:p>
    <w:p w:rsidR="009B775B" w:rsidRDefault="009B775B" w:rsidP="009B775B">
      <w:pPr>
        <w:rPr>
          <w:rFonts w:cs="Times New Roman"/>
          <w:color w:val="000000" w:themeColor="text1"/>
        </w:rPr>
      </w:pPr>
      <w:r w:rsidRPr="009514A9">
        <w:rPr>
          <w:rFonts w:cs="Times New Roman"/>
          <w:color w:val="000000" w:themeColor="text1"/>
        </w:rPr>
        <w:t>The National Bankruptcy Review Commission (“Commission”) identified two types of chapter 11 debtors: (1) “the relatively small proportion” of debtors with a reasonable chance of reorganizing and (2) the “much larger proportion of cases in which the debtor has no reasonable prospect of rehabilitation.”</w:t>
      </w:r>
      <w:r>
        <w:rPr>
          <w:rStyle w:val="FootnoteReference"/>
          <w:rFonts w:cs="Times New Roman"/>
          <w:color w:val="000000" w:themeColor="text1"/>
        </w:rPr>
        <w:footnoteReference w:id="51"/>
      </w:r>
      <w:r w:rsidRPr="009514A9">
        <w:rPr>
          <w:rFonts w:cs="Times New Roman"/>
          <w:color w:val="000000" w:themeColor="text1"/>
        </w:rPr>
        <w:t xml:space="preserve">  </w:t>
      </w:r>
      <w:r>
        <w:rPr>
          <w:rFonts w:cs="Times New Roman"/>
          <w:color w:val="000000" w:themeColor="text1"/>
        </w:rPr>
        <w:t>I</w:t>
      </w:r>
      <w:r w:rsidRPr="009514A9">
        <w:rPr>
          <w:rFonts w:cs="Times New Roman"/>
          <w:color w:val="000000" w:themeColor="text1"/>
        </w:rPr>
        <w:t>n reaction to studies that chapter 11 debtors “often live under the protection of the Bankruptcy Code for literally years, often without providing any meaningful retur</w:t>
      </w:r>
      <w:r>
        <w:rPr>
          <w:rFonts w:cs="Times New Roman"/>
          <w:color w:val="000000" w:themeColor="text1"/>
        </w:rPr>
        <w:t>n to unsecured creditors,</w:t>
      </w:r>
      <w:r w:rsidRPr="009514A9">
        <w:rPr>
          <w:rFonts w:cs="Times New Roman"/>
          <w:color w:val="000000" w:themeColor="text1"/>
        </w:rPr>
        <w:t>”</w:t>
      </w:r>
      <w:r>
        <w:rPr>
          <w:rStyle w:val="FootnoteReference"/>
          <w:rFonts w:cs="Times New Roman"/>
          <w:color w:val="000000" w:themeColor="text1"/>
        </w:rPr>
        <w:footnoteReference w:id="52"/>
      </w:r>
      <w:r>
        <w:rPr>
          <w:rFonts w:cs="Times New Roman"/>
          <w:color w:val="000000" w:themeColor="text1"/>
        </w:rPr>
        <w:t xml:space="preserve"> the Commission recommended an outside time limit for plan confirmation of 150 days from the order for relief and a 90-day plan-proposal period.</w:t>
      </w:r>
      <w:r>
        <w:rPr>
          <w:rStyle w:val="FootnoteReference"/>
          <w:rFonts w:cs="Times New Roman"/>
          <w:color w:val="000000" w:themeColor="text1"/>
        </w:rPr>
        <w:footnoteReference w:id="53"/>
      </w:r>
      <w:r>
        <w:rPr>
          <w:rFonts w:cs="Times New Roman"/>
          <w:color w:val="000000" w:themeColor="text1"/>
        </w:rPr>
        <w:t xml:space="preserve"> </w:t>
      </w:r>
    </w:p>
    <w:p w:rsidR="009B775B" w:rsidRPr="009514A9" w:rsidRDefault="009B775B" w:rsidP="009B775B">
      <w:pPr>
        <w:rPr>
          <w:rFonts w:cs="Times New Roman"/>
          <w:color w:val="000000" w:themeColor="text1"/>
        </w:rPr>
      </w:pPr>
      <w:r w:rsidRPr="009514A9">
        <w:rPr>
          <w:rFonts w:cs="Times New Roman"/>
          <w:color w:val="000000" w:themeColor="text1"/>
        </w:rPr>
        <w:t xml:space="preserve">Congress did not adopt the Commission’s suggested </w:t>
      </w:r>
      <w:r>
        <w:rPr>
          <w:rFonts w:cs="Times New Roman"/>
          <w:color w:val="000000" w:themeColor="text1"/>
        </w:rPr>
        <w:t xml:space="preserve">time frames. Instead, Congress significantly lengthened the plan-proposal period – from 90 to 300 days – while effectively shortening the time to confirmation from plan proposal – from 60 to 45 days.  Nonetheless, Congress’s imposition of plan-proposal and plan-confirmation time frames </w:t>
      </w:r>
      <w:r w:rsidRPr="009514A9">
        <w:rPr>
          <w:rFonts w:cs="Times New Roman"/>
          <w:color w:val="000000" w:themeColor="text1"/>
        </w:rPr>
        <w:t xml:space="preserve">attests to the impact of the Commission’s articulated concern about debtors languishing in chapter 11. </w:t>
      </w:r>
    </w:p>
    <w:p w:rsidR="00AA241B" w:rsidRDefault="00AA241B" w:rsidP="009B775B">
      <w:pPr>
        <w:rPr>
          <w:rFonts w:cs="Times New Roman"/>
          <w:color w:val="000000" w:themeColor="text1"/>
        </w:rPr>
      </w:pPr>
    </w:p>
    <w:p w:rsidR="009B775B" w:rsidRDefault="00001FA4" w:rsidP="009B775B">
      <w:pPr>
        <w:rPr>
          <w:rFonts w:cs="Times New Roman"/>
          <w:color w:val="000000" w:themeColor="text1"/>
          <w:u w:val="single"/>
        </w:rPr>
      </w:pPr>
      <w:r>
        <w:rPr>
          <w:rFonts w:cs="Times New Roman"/>
          <w:color w:val="000000" w:themeColor="text1"/>
        </w:rPr>
        <w:lastRenderedPageBreak/>
        <w:t>C</w:t>
      </w:r>
      <w:r w:rsidR="009B775B">
        <w:rPr>
          <w:rFonts w:cs="Times New Roman"/>
          <w:color w:val="000000" w:themeColor="text1"/>
        </w:rPr>
        <w:t>.</w:t>
      </w:r>
      <w:r w:rsidR="009B775B">
        <w:rPr>
          <w:rFonts w:cs="Times New Roman"/>
          <w:color w:val="000000" w:themeColor="text1"/>
        </w:rPr>
        <w:tab/>
      </w:r>
      <w:r w:rsidR="009B775B">
        <w:rPr>
          <w:rFonts w:cs="Times New Roman"/>
          <w:color w:val="000000" w:themeColor="text1"/>
          <w:u w:val="single"/>
        </w:rPr>
        <w:t>The Evidence</w:t>
      </w:r>
    </w:p>
    <w:p w:rsidR="009B775B" w:rsidRDefault="007F1AC5" w:rsidP="009B775B">
      <w:pPr>
        <w:rPr>
          <w:rFonts w:cs="Times New Roman"/>
          <w:color w:val="000000" w:themeColor="text1"/>
        </w:rPr>
      </w:pPr>
      <w:r>
        <w:rPr>
          <w:rFonts w:cs="Times New Roman"/>
          <w:color w:val="000000" w:themeColor="text1"/>
        </w:rPr>
        <w:t xml:space="preserve">The findings </w:t>
      </w:r>
      <w:r w:rsidR="009B775B">
        <w:rPr>
          <w:rFonts w:cs="Times New Roman"/>
          <w:color w:val="000000" w:themeColor="text1"/>
        </w:rPr>
        <w:t xml:space="preserve">in this section of </w:t>
      </w:r>
      <w:r w:rsidR="00394710">
        <w:rPr>
          <w:rFonts w:cs="Times New Roman"/>
          <w:color w:val="000000" w:themeColor="text1"/>
        </w:rPr>
        <w:t>my testimony</w:t>
      </w:r>
      <w:r>
        <w:rPr>
          <w:rFonts w:cs="Times New Roman"/>
          <w:color w:val="000000" w:themeColor="text1"/>
        </w:rPr>
        <w:t xml:space="preserve"> </w:t>
      </w:r>
      <w:r w:rsidR="009B775B">
        <w:rPr>
          <w:rFonts w:cs="Times New Roman"/>
          <w:color w:val="000000" w:themeColor="text1"/>
        </w:rPr>
        <w:t>are based on (1) a published study of 1,422 chapter 11 cases filed in 1994 and 2002 and drawn from a sampling of federal judicial districts (the “Warren &amp; Westbrook study”)</w:t>
      </w:r>
      <w:r w:rsidR="00AA241B">
        <w:rPr>
          <w:rFonts w:cs="Times New Roman"/>
          <w:color w:val="000000" w:themeColor="text1"/>
        </w:rPr>
        <w:t>;</w:t>
      </w:r>
      <w:r w:rsidR="009B775B">
        <w:rPr>
          <w:rStyle w:val="FootnoteReference"/>
          <w:rFonts w:cs="Times New Roman"/>
          <w:color w:val="000000" w:themeColor="text1"/>
        </w:rPr>
        <w:footnoteReference w:id="54"/>
      </w:r>
      <w:r w:rsidR="009B775B">
        <w:rPr>
          <w:rFonts w:cs="Times New Roman"/>
          <w:color w:val="000000" w:themeColor="text1"/>
        </w:rPr>
        <w:t xml:space="preserve"> and (2) a preliminary descriptive analysis of 799 chapter 11 cases drawn from a random sample of all chapter 11 cases filed in calendar year 2004 (the “Lawton Time study”).</w:t>
      </w:r>
      <w:r w:rsidR="009B775B">
        <w:rPr>
          <w:rStyle w:val="FootnoteReference"/>
          <w:rFonts w:cs="Times New Roman"/>
          <w:color w:val="000000" w:themeColor="text1"/>
        </w:rPr>
        <w:footnoteReference w:id="55"/>
      </w:r>
      <w:r w:rsidR="009B775B">
        <w:rPr>
          <w:rFonts w:cs="Times New Roman"/>
          <w:color w:val="000000" w:themeColor="text1"/>
        </w:rPr>
        <w:t xml:space="preserve">  </w:t>
      </w:r>
    </w:p>
    <w:p w:rsidR="009B775B" w:rsidRDefault="009B775B" w:rsidP="009B775B">
      <w:pPr>
        <w:rPr>
          <w:rFonts w:cs="Times New Roman"/>
          <w:color w:val="000000" w:themeColor="text1"/>
        </w:rPr>
      </w:pPr>
      <w:r>
        <w:rPr>
          <w:rFonts w:cs="Times New Roman"/>
          <w:color w:val="000000" w:themeColor="text1"/>
        </w:rPr>
        <w:t xml:space="preserve">The empirical evidence </w:t>
      </w:r>
      <w:r w:rsidRPr="009514A9">
        <w:rPr>
          <w:rFonts w:cs="Times New Roman"/>
          <w:color w:val="000000" w:themeColor="text1"/>
        </w:rPr>
        <w:t>belies th</w:t>
      </w:r>
      <w:r>
        <w:rPr>
          <w:rFonts w:cs="Times New Roman"/>
          <w:color w:val="000000" w:themeColor="text1"/>
        </w:rPr>
        <w:t>e Commission’s portrait of the s</w:t>
      </w:r>
      <w:r w:rsidRPr="009514A9">
        <w:rPr>
          <w:rFonts w:cs="Times New Roman"/>
          <w:color w:val="000000" w:themeColor="text1"/>
        </w:rPr>
        <w:t>mall business debtor</w:t>
      </w:r>
      <w:r>
        <w:rPr>
          <w:rFonts w:cs="Times New Roman"/>
          <w:color w:val="000000" w:themeColor="text1"/>
        </w:rPr>
        <w:t xml:space="preserve"> languishing in chapter 11</w:t>
      </w:r>
      <w:r w:rsidRPr="009514A9">
        <w:rPr>
          <w:rFonts w:cs="Times New Roman"/>
          <w:color w:val="000000" w:themeColor="text1"/>
        </w:rPr>
        <w:t xml:space="preserve">. </w:t>
      </w:r>
      <w:r>
        <w:rPr>
          <w:rFonts w:cs="Times New Roman"/>
          <w:color w:val="000000" w:themeColor="text1"/>
        </w:rPr>
        <w:t xml:space="preserve"> Both the Warren &amp; Westbrook study and the Lawton Time study found that </w:t>
      </w:r>
      <w:r w:rsidR="00AA241B">
        <w:rPr>
          <w:rFonts w:cs="Times New Roman"/>
          <w:color w:val="000000" w:themeColor="text1"/>
        </w:rPr>
        <w:t xml:space="preserve">pre-BAPCPA </w:t>
      </w:r>
      <w:r>
        <w:rPr>
          <w:rFonts w:cs="Times New Roman"/>
          <w:color w:val="000000" w:themeColor="text1"/>
        </w:rPr>
        <w:t>bankruptcy courts generally disposed of chapter 11 cases in an expeditious manner.</w:t>
      </w:r>
    </w:p>
    <w:p w:rsidR="009B775B" w:rsidRDefault="009B775B" w:rsidP="009B775B">
      <w:pPr>
        <w:rPr>
          <w:rFonts w:cs="Times New Roman"/>
          <w:color w:val="000000" w:themeColor="text1"/>
        </w:rPr>
      </w:pPr>
      <w:r>
        <w:rPr>
          <w:rFonts w:cs="Times New Roman"/>
          <w:color w:val="000000" w:themeColor="text1"/>
        </w:rPr>
        <w:t>The Warren &amp; Westbrook study found that the average time</w:t>
      </w:r>
      <w:r w:rsidR="00576BC5">
        <w:rPr>
          <w:rFonts w:cs="Times New Roman"/>
          <w:color w:val="000000" w:themeColor="text1"/>
        </w:rPr>
        <w:t>s</w:t>
      </w:r>
      <w:r>
        <w:rPr>
          <w:rFonts w:cs="Times New Roman"/>
          <w:color w:val="000000" w:themeColor="text1"/>
        </w:rPr>
        <w:t xml:space="preserve"> to confirmation, conversion or dismissal “in the 1994 and 2002 studies w</w:t>
      </w:r>
      <w:r w:rsidR="00576BC5">
        <w:rPr>
          <w:rFonts w:cs="Times New Roman"/>
          <w:color w:val="000000" w:themeColor="text1"/>
        </w:rPr>
        <w:t>ere</w:t>
      </w:r>
      <w:r>
        <w:rPr>
          <w:rFonts w:cs="Times New Roman"/>
          <w:color w:val="000000" w:themeColor="text1"/>
        </w:rPr>
        <w:t xml:space="preserve"> 329 and 327 days, respectively.”</w:t>
      </w:r>
      <w:r>
        <w:rPr>
          <w:rStyle w:val="FootnoteReference"/>
          <w:rFonts w:cs="Times New Roman"/>
          <w:color w:val="000000" w:themeColor="text1"/>
        </w:rPr>
        <w:footnoteReference w:id="56"/>
      </w:r>
      <w:r>
        <w:rPr>
          <w:rFonts w:cs="Times New Roman"/>
          <w:color w:val="000000" w:themeColor="text1"/>
        </w:rPr>
        <w:t xml:space="preserve">  The Lawton Time study found that for the 2004 cases t</w:t>
      </w:r>
      <w:r w:rsidRPr="009514A9">
        <w:rPr>
          <w:rFonts w:cs="Times New Roman"/>
          <w:color w:val="000000" w:themeColor="text1"/>
        </w:rPr>
        <w:t xml:space="preserve">he average time from the order for relief in chapter 11 to the initial disposition </w:t>
      </w:r>
      <w:r>
        <w:rPr>
          <w:rFonts w:cs="Times New Roman"/>
          <w:color w:val="000000" w:themeColor="text1"/>
        </w:rPr>
        <w:t>of</w:t>
      </w:r>
      <w:r w:rsidRPr="009514A9">
        <w:rPr>
          <w:rFonts w:cs="Times New Roman"/>
          <w:color w:val="000000" w:themeColor="text1"/>
        </w:rPr>
        <w:t xml:space="preserve"> the case</w:t>
      </w:r>
      <w:r>
        <w:rPr>
          <w:rStyle w:val="FootnoteReference"/>
          <w:rFonts w:cs="Times New Roman"/>
          <w:color w:val="000000" w:themeColor="text1"/>
        </w:rPr>
        <w:footnoteReference w:id="57"/>
      </w:r>
      <w:r>
        <w:rPr>
          <w:rFonts w:cs="Times New Roman"/>
          <w:color w:val="000000" w:themeColor="text1"/>
        </w:rPr>
        <w:t xml:space="preserve"> </w:t>
      </w:r>
      <w:r w:rsidRPr="009514A9">
        <w:rPr>
          <w:rFonts w:cs="Times New Roman"/>
          <w:color w:val="000000" w:themeColor="text1"/>
        </w:rPr>
        <w:t xml:space="preserve">was 371 days or just slightly longer than one year. </w:t>
      </w:r>
    </w:p>
    <w:p w:rsidR="009B775B" w:rsidRDefault="009B775B" w:rsidP="009B775B">
      <w:pPr>
        <w:rPr>
          <w:rFonts w:cs="Times New Roman"/>
          <w:color w:val="000000" w:themeColor="text1"/>
        </w:rPr>
      </w:pPr>
      <w:r>
        <w:rPr>
          <w:rFonts w:cs="Times New Roman"/>
          <w:color w:val="000000" w:themeColor="text1"/>
        </w:rPr>
        <w:t>Significant outliers, however, make averages potentially misleading. In the Warren &amp; Westbrook study, the median time to disposition was 264 days for the 1994 cases and 274 days for the 2002 cases.</w:t>
      </w:r>
      <w:r>
        <w:rPr>
          <w:rStyle w:val="FootnoteReference"/>
          <w:rFonts w:cs="Times New Roman"/>
          <w:color w:val="000000" w:themeColor="text1"/>
        </w:rPr>
        <w:footnoteReference w:id="58"/>
      </w:r>
      <w:r>
        <w:rPr>
          <w:rFonts w:cs="Times New Roman"/>
          <w:color w:val="000000" w:themeColor="text1"/>
        </w:rPr>
        <w:t xml:space="preserve"> </w:t>
      </w:r>
      <w:r w:rsidRPr="009514A9">
        <w:rPr>
          <w:rFonts w:cs="Times New Roman"/>
          <w:color w:val="000000" w:themeColor="text1"/>
        </w:rPr>
        <w:t xml:space="preserve">The median time to disposition </w:t>
      </w:r>
      <w:r>
        <w:rPr>
          <w:rFonts w:cs="Times New Roman"/>
          <w:color w:val="000000" w:themeColor="text1"/>
        </w:rPr>
        <w:t xml:space="preserve">in the Lawton Time study </w:t>
      </w:r>
      <w:r w:rsidRPr="009514A9">
        <w:rPr>
          <w:rFonts w:cs="Times New Roman"/>
          <w:color w:val="000000" w:themeColor="text1"/>
        </w:rPr>
        <w:t xml:space="preserve">was 280 days. </w:t>
      </w:r>
      <w:r>
        <w:rPr>
          <w:rFonts w:cs="Times New Roman"/>
          <w:color w:val="000000" w:themeColor="text1"/>
        </w:rPr>
        <w:t>Thus,</w:t>
      </w:r>
      <w:r w:rsidRPr="009514A9">
        <w:rPr>
          <w:rFonts w:cs="Times New Roman"/>
          <w:color w:val="000000" w:themeColor="text1"/>
        </w:rPr>
        <w:t xml:space="preserve"> half of the </w:t>
      </w:r>
      <w:r>
        <w:rPr>
          <w:rFonts w:cs="Times New Roman"/>
          <w:color w:val="000000" w:themeColor="text1"/>
        </w:rPr>
        <w:t>chapter 11 cases in the Warren &amp; Westbrook, and Lawton Time, studies h</w:t>
      </w:r>
      <w:r w:rsidRPr="009514A9">
        <w:rPr>
          <w:rFonts w:cs="Times New Roman"/>
          <w:color w:val="000000" w:themeColor="text1"/>
        </w:rPr>
        <w:t xml:space="preserve">ad confirmed </w:t>
      </w:r>
      <w:r>
        <w:rPr>
          <w:rFonts w:cs="Times New Roman"/>
          <w:color w:val="000000" w:themeColor="text1"/>
        </w:rPr>
        <w:t xml:space="preserve">a </w:t>
      </w:r>
      <w:r w:rsidRPr="009514A9">
        <w:rPr>
          <w:rFonts w:cs="Times New Roman"/>
          <w:color w:val="000000" w:themeColor="text1"/>
        </w:rPr>
        <w:t xml:space="preserve">plan or were dismissed or converted in less than 10 months – the outer time limit </w:t>
      </w:r>
      <w:r>
        <w:rPr>
          <w:rFonts w:cs="Times New Roman"/>
          <w:color w:val="000000" w:themeColor="text1"/>
        </w:rPr>
        <w:t xml:space="preserve">currently </w:t>
      </w:r>
      <w:r w:rsidRPr="009514A9">
        <w:rPr>
          <w:rFonts w:cs="Times New Roman"/>
          <w:color w:val="000000" w:themeColor="text1"/>
        </w:rPr>
        <w:t xml:space="preserve">allowed small business debtors to propose a chapter 11 plan. </w:t>
      </w:r>
    </w:p>
    <w:p w:rsidR="009B775B" w:rsidRPr="009412DD" w:rsidRDefault="009B775B" w:rsidP="005E763C">
      <w:pPr>
        <w:spacing w:after="0"/>
        <w:rPr>
          <w:rFonts w:cs="Times New Roman"/>
          <w:color w:val="000000" w:themeColor="text1"/>
        </w:rPr>
      </w:pPr>
      <w:r>
        <w:rPr>
          <w:rFonts w:cs="Times New Roman"/>
          <w:color w:val="000000" w:themeColor="text1"/>
        </w:rPr>
        <w:t>Using BAPCPA’s maximum 300-day pla</w:t>
      </w:r>
      <w:r w:rsidR="00394710">
        <w:rPr>
          <w:rFonts w:cs="Times New Roman"/>
          <w:color w:val="000000" w:themeColor="text1"/>
        </w:rPr>
        <w:t xml:space="preserve">n-proposal time and its </w:t>
      </w:r>
      <w:r>
        <w:rPr>
          <w:rFonts w:cs="Times New Roman"/>
          <w:color w:val="000000" w:themeColor="text1"/>
        </w:rPr>
        <w:t xml:space="preserve">45-day plan-confirmation time, the data from the Lawton Time study shows that 60% of the pre-BAPCPA cases had been disposed of within that 345-day period. </w:t>
      </w:r>
      <w:r w:rsidRPr="009514A9">
        <w:rPr>
          <w:rFonts w:cs="Times New Roman"/>
          <w:color w:val="000000" w:themeColor="text1"/>
        </w:rPr>
        <w:t xml:space="preserve">Moreover, </w:t>
      </w:r>
      <w:r>
        <w:rPr>
          <w:rFonts w:cs="Times New Roman"/>
          <w:color w:val="000000" w:themeColor="text1"/>
        </w:rPr>
        <w:t xml:space="preserve">between </w:t>
      </w:r>
      <w:r w:rsidRPr="009514A9">
        <w:rPr>
          <w:rFonts w:cs="Times New Roman"/>
          <w:color w:val="000000" w:themeColor="text1"/>
        </w:rPr>
        <w:t xml:space="preserve">63% </w:t>
      </w:r>
      <w:r>
        <w:rPr>
          <w:rFonts w:cs="Times New Roman"/>
          <w:color w:val="000000" w:themeColor="text1"/>
        </w:rPr>
        <w:t xml:space="preserve">and 67% of the chapter 11 cases in the Warren </w:t>
      </w:r>
      <w:r>
        <w:rPr>
          <w:rFonts w:cs="Times New Roman"/>
          <w:color w:val="000000" w:themeColor="text1"/>
        </w:rPr>
        <w:lastRenderedPageBreak/>
        <w:t>&amp; Westbrook,</w:t>
      </w:r>
      <w:r>
        <w:rPr>
          <w:rStyle w:val="FootnoteReference"/>
          <w:rFonts w:cs="Times New Roman"/>
          <w:color w:val="000000" w:themeColor="text1"/>
        </w:rPr>
        <w:footnoteReference w:id="59"/>
      </w:r>
      <w:r>
        <w:rPr>
          <w:rFonts w:cs="Times New Roman"/>
          <w:color w:val="000000" w:themeColor="text1"/>
        </w:rPr>
        <w:t xml:space="preserve"> and Lawton Time, studies were disposed of within one year’s time. </w:t>
      </w:r>
      <w:r w:rsidRPr="009514A9">
        <w:rPr>
          <w:rFonts w:cs="Times New Roman"/>
          <w:color w:val="000000" w:themeColor="text1"/>
        </w:rPr>
        <w:t>Table I</w:t>
      </w:r>
      <w:r>
        <w:rPr>
          <w:rFonts w:cs="Times New Roman"/>
          <w:color w:val="000000" w:themeColor="text1"/>
        </w:rPr>
        <w:t xml:space="preserve"> presents data from the Lawton Time study broken down by time to disposition</w:t>
      </w:r>
      <w:r w:rsidRPr="009514A9">
        <w:rPr>
          <w:rFonts w:cs="Times New Roman"/>
          <w:color w:val="000000" w:themeColor="text1"/>
        </w:rPr>
        <w:t>.</w:t>
      </w:r>
      <w:r w:rsidR="009412DD">
        <w:rPr>
          <w:rFonts w:cs="Times New Roman"/>
          <w:color w:val="000000" w:themeColor="text1"/>
        </w:rPr>
        <w:t xml:space="preserve"> </w:t>
      </w:r>
      <w:r w:rsidR="005E763C">
        <w:rPr>
          <w:rFonts w:cs="Times New Roman"/>
          <w:color w:val="000000" w:themeColor="text1"/>
        </w:rPr>
        <w:t>The figures in Rows (2) through (6) of Table I are cumulative; they include all cases disposed of by the time period indicated.</w:t>
      </w:r>
    </w:p>
    <w:p w:rsidR="009B775B" w:rsidRDefault="009B775B" w:rsidP="005E763C">
      <w:pPr>
        <w:pStyle w:val="ListParagraph"/>
        <w:jc w:val="center"/>
        <w:rPr>
          <w:rFonts w:ascii="Garamond" w:hAnsi="Garamond" w:cs="Times New Roman"/>
          <w:b/>
          <w:smallCaps/>
          <w:color w:val="000000" w:themeColor="text1"/>
        </w:rPr>
      </w:pPr>
    </w:p>
    <w:p w:rsidR="009B775B" w:rsidRDefault="009B775B" w:rsidP="009B775B">
      <w:pPr>
        <w:pStyle w:val="ListParagraph"/>
        <w:jc w:val="center"/>
        <w:rPr>
          <w:rFonts w:ascii="Garamond" w:hAnsi="Garamond" w:cs="Times New Roman"/>
          <w:b/>
          <w:smallCaps/>
          <w:color w:val="000000" w:themeColor="text1"/>
        </w:rPr>
      </w:pPr>
      <w:r>
        <w:rPr>
          <w:rFonts w:ascii="Garamond" w:hAnsi="Garamond" w:cs="Times New Roman"/>
          <w:b/>
          <w:smallCaps/>
          <w:color w:val="000000" w:themeColor="text1"/>
        </w:rPr>
        <w:t>Table I: Order for Relief to One year</w:t>
      </w:r>
    </w:p>
    <w:p w:rsidR="009B775B" w:rsidRDefault="009B775B" w:rsidP="009B775B">
      <w:pPr>
        <w:pStyle w:val="ListParagraph"/>
        <w:jc w:val="center"/>
        <w:rPr>
          <w:rFonts w:ascii="Garamond" w:hAnsi="Garamond" w:cs="Times New Roman"/>
          <w:b/>
          <w:smallCaps/>
          <w:color w:val="000000" w:themeColor="text1"/>
        </w:rPr>
      </w:pPr>
    </w:p>
    <w:tbl>
      <w:tblPr>
        <w:tblStyle w:val="TableGrid"/>
        <w:tblW w:w="9450" w:type="dxa"/>
        <w:tblInd w:w="108" w:type="dxa"/>
        <w:tblLook w:val="04A0" w:firstRow="1" w:lastRow="0" w:firstColumn="1" w:lastColumn="0" w:noHBand="0" w:noVBand="1"/>
      </w:tblPr>
      <w:tblGrid>
        <w:gridCol w:w="630"/>
        <w:gridCol w:w="2727"/>
        <w:gridCol w:w="2688"/>
        <w:gridCol w:w="3405"/>
      </w:tblGrid>
      <w:tr w:rsidR="009B775B" w:rsidTr="00A6540D">
        <w:tc>
          <w:tcPr>
            <w:tcW w:w="630" w:type="dxa"/>
          </w:tcPr>
          <w:p w:rsidR="009B775B" w:rsidRDefault="009B775B" w:rsidP="00A6540D">
            <w:pPr>
              <w:pStyle w:val="ListParagraph"/>
              <w:ind w:left="0"/>
              <w:jc w:val="center"/>
              <w:rPr>
                <w:rFonts w:ascii="Garamond" w:hAnsi="Garamond" w:cs="Times New Roman"/>
                <w:b/>
                <w:smallCaps/>
                <w:color w:val="000000" w:themeColor="text1"/>
              </w:rPr>
            </w:pPr>
          </w:p>
        </w:tc>
        <w:tc>
          <w:tcPr>
            <w:tcW w:w="2727" w:type="dxa"/>
          </w:tcPr>
          <w:p w:rsidR="009B775B" w:rsidRPr="00DA5D83" w:rsidRDefault="009B775B" w:rsidP="00A6540D">
            <w:pPr>
              <w:pStyle w:val="ListParagraph"/>
              <w:ind w:left="0"/>
              <w:jc w:val="center"/>
              <w:rPr>
                <w:rFonts w:ascii="Garamond" w:hAnsi="Garamond" w:cs="Times New Roman"/>
                <w:b/>
                <w:color w:val="000000" w:themeColor="text1"/>
              </w:rPr>
            </w:pPr>
            <w:r>
              <w:rPr>
                <w:rFonts w:ascii="Garamond" w:hAnsi="Garamond" w:cs="Times New Roman"/>
                <w:b/>
                <w:smallCaps/>
                <w:color w:val="000000" w:themeColor="text1"/>
              </w:rPr>
              <w:t>T</w:t>
            </w:r>
            <w:r>
              <w:rPr>
                <w:rFonts w:ascii="Garamond" w:hAnsi="Garamond" w:cs="Times New Roman"/>
                <w:b/>
                <w:color w:val="000000" w:themeColor="text1"/>
              </w:rPr>
              <w:t>ime to Disposition</w:t>
            </w:r>
          </w:p>
        </w:tc>
        <w:tc>
          <w:tcPr>
            <w:tcW w:w="2688" w:type="dxa"/>
          </w:tcPr>
          <w:p w:rsidR="009B775B" w:rsidRPr="00DA5D83" w:rsidRDefault="009B775B" w:rsidP="00A6540D">
            <w:pPr>
              <w:pStyle w:val="ListParagraph"/>
              <w:ind w:left="0"/>
              <w:jc w:val="center"/>
              <w:rPr>
                <w:rFonts w:ascii="Garamond" w:hAnsi="Garamond" w:cs="Times New Roman"/>
                <w:b/>
                <w:color w:val="000000" w:themeColor="text1"/>
              </w:rPr>
            </w:pPr>
            <w:r>
              <w:rPr>
                <w:rFonts w:ascii="Garamond" w:hAnsi="Garamond" w:cs="Times New Roman"/>
                <w:b/>
                <w:color w:val="000000" w:themeColor="text1"/>
              </w:rPr>
              <w:t>Number of Cases</w:t>
            </w:r>
          </w:p>
        </w:tc>
        <w:tc>
          <w:tcPr>
            <w:tcW w:w="3405" w:type="dxa"/>
          </w:tcPr>
          <w:p w:rsidR="009B775B" w:rsidRPr="00DA5D83" w:rsidRDefault="009B775B" w:rsidP="00A6540D">
            <w:pPr>
              <w:pStyle w:val="ListParagraph"/>
              <w:ind w:left="0"/>
              <w:jc w:val="center"/>
              <w:rPr>
                <w:rFonts w:ascii="Garamond" w:hAnsi="Garamond" w:cs="Times New Roman"/>
                <w:b/>
                <w:color w:val="000000" w:themeColor="text1"/>
              </w:rPr>
            </w:pPr>
            <w:r>
              <w:rPr>
                <w:rFonts w:ascii="Garamond" w:hAnsi="Garamond" w:cs="Times New Roman"/>
                <w:b/>
                <w:color w:val="000000" w:themeColor="text1"/>
              </w:rPr>
              <w:t>Percentage of Sample</w:t>
            </w:r>
          </w:p>
        </w:tc>
      </w:tr>
      <w:tr w:rsidR="009B775B" w:rsidTr="00A6540D">
        <w:tc>
          <w:tcPr>
            <w:tcW w:w="630" w:type="dxa"/>
          </w:tcPr>
          <w:p w:rsidR="009B775B" w:rsidRDefault="009B775B" w:rsidP="00A6540D">
            <w:pPr>
              <w:pStyle w:val="ListParagraph"/>
              <w:ind w:left="0"/>
              <w:jc w:val="center"/>
              <w:rPr>
                <w:rFonts w:ascii="Garamond" w:hAnsi="Garamond" w:cs="Times New Roman"/>
                <w:color w:val="000000" w:themeColor="text1"/>
              </w:rPr>
            </w:pPr>
            <w:r>
              <w:rPr>
                <w:rFonts w:ascii="Garamond" w:hAnsi="Garamond" w:cs="Times New Roman"/>
                <w:color w:val="000000" w:themeColor="text1"/>
              </w:rPr>
              <w:t>(1)</w:t>
            </w:r>
          </w:p>
        </w:tc>
        <w:tc>
          <w:tcPr>
            <w:tcW w:w="2727" w:type="dxa"/>
          </w:tcPr>
          <w:p w:rsidR="009B775B" w:rsidRPr="00DA5D83" w:rsidRDefault="009B775B" w:rsidP="00A6540D">
            <w:pPr>
              <w:pStyle w:val="ListParagraph"/>
              <w:ind w:left="0"/>
              <w:jc w:val="center"/>
              <w:rPr>
                <w:rFonts w:ascii="Garamond" w:hAnsi="Garamond" w:cs="Times New Roman"/>
                <w:color w:val="000000" w:themeColor="text1"/>
              </w:rPr>
            </w:pPr>
            <w:r>
              <w:rPr>
                <w:rFonts w:ascii="Garamond" w:hAnsi="Garamond" w:cs="Times New Roman"/>
                <w:color w:val="000000" w:themeColor="text1"/>
              </w:rPr>
              <w:t>90 days (3 months)</w:t>
            </w:r>
          </w:p>
        </w:tc>
        <w:tc>
          <w:tcPr>
            <w:tcW w:w="2688" w:type="dxa"/>
          </w:tcPr>
          <w:p w:rsidR="009B775B" w:rsidRDefault="009B775B" w:rsidP="00A6540D">
            <w:pPr>
              <w:pStyle w:val="ListParagraph"/>
              <w:ind w:left="0"/>
              <w:jc w:val="center"/>
              <w:rPr>
                <w:rFonts w:ascii="Garamond" w:hAnsi="Garamond" w:cs="Times New Roman"/>
                <w:b/>
                <w:smallCaps/>
                <w:color w:val="000000" w:themeColor="text1"/>
              </w:rPr>
            </w:pPr>
            <w:r>
              <w:rPr>
                <w:rFonts w:ascii="Garamond" w:hAnsi="Garamond" w:cs="Times New Roman"/>
                <w:b/>
                <w:smallCaps/>
                <w:color w:val="000000" w:themeColor="text1"/>
              </w:rPr>
              <w:t>123</w:t>
            </w:r>
          </w:p>
        </w:tc>
        <w:tc>
          <w:tcPr>
            <w:tcW w:w="3405" w:type="dxa"/>
          </w:tcPr>
          <w:p w:rsidR="009B775B" w:rsidRDefault="009B775B" w:rsidP="00A6540D">
            <w:pPr>
              <w:pStyle w:val="ListParagraph"/>
              <w:ind w:left="0"/>
              <w:jc w:val="center"/>
              <w:rPr>
                <w:rFonts w:ascii="Garamond" w:hAnsi="Garamond" w:cs="Times New Roman"/>
                <w:b/>
                <w:smallCaps/>
                <w:color w:val="000000" w:themeColor="text1"/>
              </w:rPr>
            </w:pPr>
            <w:r>
              <w:rPr>
                <w:rFonts w:ascii="Garamond" w:hAnsi="Garamond" w:cs="Times New Roman"/>
                <w:b/>
                <w:smallCaps/>
                <w:color w:val="000000" w:themeColor="text1"/>
              </w:rPr>
              <w:t>15.4%</w:t>
            </w:r>
          </w:p>
        </w:tc>
      </w:tr>
      <w:tr w:rsidR="009B775B" w:rsidTr="00A6540D">
        <w:tc>
          <w:tcPr>
            <w:tcW w:w="630" w:type="dxa"/>
          </w:tcPr>
          <w:p w:rsidR="009B775B" w:rsidRDefault="009B775B" w:rsidP="00A6540D">
            <w:pPr>
              <w:pStyle w:val="ListParagraph"/>
              <w:ind w:left="0"/>
              <w:jc w:val="center"/>
              <w:rPr>
                <w:rFonts w:ascii="Garamond" w:hAnsi="Garamond" w:cs="Times New Roman"/>
                <w:color w:val="000000" w:themeColor="text1"/>
              </w:rPr>
            </w:pPr>
            <w:r>
              <w:rPr>
                <w:rFonts w:ascii="Garamond" w:hAnsi="Garamond" w:cs="Times New Roman"/>
                <w:color w:val="000000" w:themeColor="text1"/>
              </w:rPr>
              <w:t>(2)</w:t>
            </w:r>
          </w:p>
        </w:tc>
        <w:tc>
          <w:tcPr>
            <w:tcW w:w="2727" w:type="dxa"/>
          </w:tcPr>
          <w:p w:rsidR="009B775B" w:rsidRPr="00DA5D83" w:rsidRDefault="009B775B" w:rsidP="00A6540D">
            <w:pPr>
              <w:pStyle w:val="ListParagraph"/>
              <w:ind w:left="0"/>
              <w:jc w:val="center"/>
              <w:rPr>
                <w:rFonts w:ascii="Garamond" w:hAnsi="Garamond" w:cs="Times New Roman"/>
                <w:color w:val="000000" w:themeColor="text1"/>
              </w:rPr>
            </w:pPr>
            <w:r>
              <w:rPr>
                <w:rFonts w:ascii="Garamond" w:hAnsi="Garamond" w:cs="Times New Roman"/>
                <w:color w:val="000000" w:themeColor="text1"/>
              </w:rPr>
              <w:t>180 days (6 months)</w:t>
            </w:r>
          </w:p>
        </w:tc>
        <w:tc>
          <w:tcPr>
            <w:tcW w:w="2688" w:type="dxa"/>
          </w:tcPr>
          <w:p w:rsidR="009B775B" w:rsidRPr="00423249" w:rsidRDefault="009B775B" w:rsidP="00A6540D">
            <w:pPr>
              <w:pStyle w:val="ListParagraph"/>
              <w:ind w:left="0"/>
              <w:jc w:val="center"/>
              <w:rPr>
                <w:rFonts w:ascii="Garamond" w:hAnsi="Garamond" w:cs="Times New Roman"/>
                <w:b/>
                <w:color w:val="000000" w:themeColor="text1"/>
              </w:rPr>
            </w:pPr>
            <w:r w:rsidRPr="00423249">
              <w:rPr>
                <w:rFonts w:ascii="Garamond" w:hAnsi="Garamond" w:cs="Times New Roman"/>
                <w:b/>
                <w:color w:val="000000" w:themeColor="text1"/>
              </w:rPr>
              <w:t>25</w:t>
            </w:r>
            <w:r>
              <w:rPr>
                <w:rFonts w:ascii="Garamond" w:hAnsi="Garamond" w:cs="Times New Roman"/>
                <w:b/>
                <w:color w:val="000000" w:themeColor="text1"/>
              </w:rPr>
              <w:t>8</w:t>
            </w:r>
          </w:p>
        </w:tc>
        <w:tc>
          <w:tcPr>
            <w:tcW w:w="3405" w:type="dxa"/>
          </w:tcPr>
          <w:p w:rsidR="009B775B" w:rsidRPr="00423249" w:rsidRDefault="009B775B" w:rsidP="00A6540D">
            <w:pPr>
              <w:pStyle w:val="ListParagraph"/>
              <w:ind w:left="0"/>
              <w:jc w:val="center"/>
              <w:rPr>
                <w:rFonts w:ascii="Garamond" w:hAnsi="Garamond" w:cs="Times New Roman"/>
                <w:b/>
                <w:color w:val="000000" w:themeColor="text1"/>
              </w:rPr>
            </w:pPr>
            <w:r w:rsidRPr="00423249">
              <w:rPr>
                <w:rFonts w:ascii="Garamond" w:hAnsi="Garamond" w:cs="Times New Roman"/>
                <w:b/>
                <w:color w:val="000000" w:themeColor="text1"/>
              </w:rPr>
              <w:t>32</w:t>
            </w:r>
            <w:r>
              <w:rPr>
                <w:rFonts w:ascii="Garamond" w:hAnsi="Garamond" w:cs="Times New Roman"/>
                <w:b/>
                <w:color w:val="000000" w:themeColor="text1"/>
              </w:rPr>
              <w:t>.3</w:t>
            </w:r>
            <w:r w:rsidRPr="00423249">
              <w:rPr>
                <w:rFonts w:ascii="Garamond" w:hAnsi="Garamond" w:cs="Times New Roman"/>
                <w:b/>
                <w:color w:val="000000" w:themeColor="text1"/>
              </w:rPr>
              <w:t>%</w:t>
            </w:r>
          </w:p>
        </w:tc>
      </w:tr>
      <w:tr w:rsidR="009B775B" w:rsidTr="00A6540D">
        <w:tc>
          <w:tcPr>
            <w:tcW w:w="630" w:type="dxa"/>
          </w:tcPr>
          <w:p w:rsidR="009B775B" w:rsidRDefault="009B775B" w:rsidP="00A6540D">
            <w:pPr>
              <w:pStyle w:val="ListParagraph"/>
              <w:ind w:left="0"/>
              <w:jc w:val="center"/>
              <w:rPr>
                <w:rFonts w:ascii="Garamond" w:hAnsi="Garamond" w:cs="Times New Roman"/>
                <w:color w:val="000000" w:themeColor="text1"/>
              </w:rPr>
            </w:pPr>
            <w:r>
              <w:rPr>
                <w:rFonts w:ascii="Garamond" w:hAnsi="Garamond" w:cs="Times New Roman"/>
                <w:color w:val="000000" w:themeColor="text1"/>
              </w:rPr>
              <w:t>(3)</w:t>
            </w:r>
          </w:p>
        </w:tc>
        <w:tc>
          <w:tcPr>
            <w:tcW w:w="2727" w:type="dxa"/>
          </w:tcPr>
          <w:p w:rsidR="009B775B" w:rsidRPr="00DA5D83" w:rsidRDefault="009B775B" w:rsidP="00A6540D">
            <w:pPr>
              <w:pStyle w:val="ListParagraph"/>
              <w:ind w:left="0"/>
              <w:jc w:val="center"/>
              <w:rPr>
                <w:rFonts w:ascii="Garamond" w:hAnsi="Garamond" w:cs="Times New Roman"/>
                <w:color w:val="000000" w:themeColor="text1"/>
              </w:rPr>
            </w:pPr>
            <w:r>
              <w:rPr>
                <w:rFonts w:ascii="Garamond" w:hAnsi="Garamond" w:cs="Times New Roman"/>
                <w:color w:val="000000" w:themeColor="text1"/>
              </w:rPr>
              <w:t>270 days (9 months)</w:t>
            </w:r>
          </w:p>
        </w:tc>
        <w:tc>
          <w:tcPr>
            <w:tcW w:w="2688" w:type="dxa"/>
          </w:tcPr>
          <w:p w:rsidR="009B775B" w:rsidRPr="00423249" w:rsidRDefault="009B775B" w:rsidP="00A6540D">
            <w:pPr>
              <w:pStyle w:val="ListParagraph"/>
              <w:ind w:left="0"/>
              <w:jc w:val="center"/>
              <w:rPr>
                <w:rFonts w:ascii="Garamond" w:hAnsi="Garamond" w:cs="Times New Roman"/>
                <w:b/>
                <w:color w:val="000000" w:themeColor="text1"/>
              </w:rPr>
            </w:pPr>
            <w:r w:rsidRPr="00423249">
              <w:rPr>
                <w:rFonts w:ascii="Garamond" w:hAnsi="Garamond" w:cs="Times New Roman"/>
                <w:b/>
                <w:color w:val="000000" w:themeColor="text1"/>
              </w:rPr>
              <w:t>389</w:t>
            </w:r>
          </w:p>
        </w:tc>
        <w:tc>
          <w:tcPr>
            <w:tcW w:w="3405" w:type="dxa"/>
          </w:tcPr>
          <w:p w:rsidR="009B775B" w:rsidRPr="00423249" w:rsidRDefault="009B775B" w:rsidP="00A6540D">
            <w:pPr>
              <w:pStyle w:val="ListParagraph"/>
              <w:ind w:left="0"/>
              <w:jc w:val="center"/>
              <w:rPr>
                <w:rFonts w:ascii="Garamond" w:hAnsi="Garamond" w:cs="Times New Roman"/>
                <w:b/>
                <w:color w:val="000000" w:themeColor="text1"/>
              </w:rPr>
            </w:pPr>
            <w:r w:rsidRPr="00423249">
              <w:rPr>
                <w:rFonts w:ascii="Garamond" w:hAnsi="Garamond" w:cs="Times New Roman"/>
                <w:b/>
                <w:color w:val="000000" w:themeColor="text1"/>
              </w:rPr>
              <w:t>4</w:t>
            </w:r>
            <w:r>
              <w:rPr>
                <w:rFonts w:ascii="Garamond" w:hAnsi="Garamond" w:cs="Times New Roman"/>
                <w:b/>
                <w:color w:val="000000" w:themeColor="text1"/>
              </w:rPr>
              <w:t>8.7</w:t>
            </w:r>
            <w:r w:rsidRPr="00423249">
              <w:rPr>
                <w:rFonts w:ascii="Garamond" w:hAnsi="Garamond" w:cs="Times New Roman"/>
                <w:b/>
                <w:color w:val="000000" w:themeColor="text1"/>
              </w:rPr>
              <w:t>%</w:t>
            </w:r>
          </w:p>
        </w:tc>
      </w:tr>
      <w:tr w:rsidR="009B775B" w:rsidTr="00A6540D">
        <w:tc>
          <w:tcPr>
            <w:tcW w:w="630" w:type="dxa"/>
          </w:tcPr>
          <w:p w:rsidR="009B775B" w:rsidRDefault="009B775B" w:rsidP="00A6540D">
            <w:pPr>
              <w:pStyle w:val="ListParagraph"/>
              <w:ind w:left="0"/>
              <w:jc w:val="center"/>
              <w:rPr>
                <w:rFonts w:ascii="Garamond" w:hAnsi="Garamond" w:cs="Times New Roman"/>
                <w:color w:val="000000" w:themeColor="text1"/>
              </w:rPr>
            </w:pPr>
            <w:r>
              <w:rPr>
                <w:rFonts w:ascii="Garamond" w:hAnsi="Garamond" w:cs="Times New Roman"/>
                <w:color w:val="000000" w:themeColor="text1"/>
              </w:rPr>
              <w:t>(4)</w:t>
            </w:r>
          </w:p>
        </w:tc>
        <w:tc>
          <w:tcPr>
            <w:tcW w:w="2727" w:type="dxa"/>
          </w:tcPr>
          <w:p w:rsidR="009B775B" w:rsidRPr="00DA5D83" w:rsidRDefault="009B775B" w:rsidP="00A6540D">
            <w:pPr>
              <w:pStyle w:val="ListParagraph"/>
              <w:ind w:left="0"/>
              <w:jc w:val="center"/>
              <w:rPr>
                <w:rFonts w:ascii="Garamond" w:hAnsi="Garamond" w:cs="Times New Roman"/>
                <w:color w:val="000000" w:themeColor="text1"/>
              </w:rPr>
            </w:pPr>
            <w:r>
              <w:rPr>
                <w:rFonts w:ascii="Garamond" w:hAnsi="Garamond" w:cs="Times New Roman"/>
                <w:color w:val="000000" w:themeColor="text1"/>
              </w:rPr>
              <w:t>300 days</w:t>
            </w:r>
          </w:p>
        </w:tc>
        <w:tc>
          <w:tcPr>
            <w:tcW w:w="2688" w:type="dxa"/>
          </w:tcPr>
          <w:p w:rsidR="009B775B" w:rsidRPr="00423249" w:rsidRDefault="009B775B" w:rsidP="00A6540D">
            <w:pPr>
              <w:pStyle w:val="ListParagraph"/>
              <w:ind w:left="0"/>
              <w:jc w:val="center"/>
              <w:rPr>
                <w:rFonts w:ascii="Garamond" w:hAnsi="Garamond" w:cs="Times New Roman"/>
                <w:b/>
                <w:color w:val="000000" w:themeColor="text1"/>
              </w:rPr>
            </w:pPr>
            <w:r>
              <w:rPr>
                <w:rFonts w:ascii="Garamond" w:hAnsi="Garamond" w:cs="Times New Roman"/>
                <w:b/>
                <w:color w:val="000000" w:themeColor="text1"/>
              </w:rPr>
              <w:t>427</w:t>
            </w:r>
          </w:p>
        </w:tc>
        <w:tc>
          <w:tcPr>
            <w:tcW w:w="3405" w:type="dxa"/>
          </w:tcPr>
          <w:p w:rsidR="009B775B" w:rsidRPr="00423249" w:rsidRDefault="009B775B" w:rsidP="00A6540D">
            <w:pPr>
              <w:pStyle w:val="ListParagraph"/>
              <w:ind w:left="0"/>
              <w:jc w:val="center"/>
              <w:rPr>
                <w:rFonts w:ascii="Garamond" w:hAnsi="Garamond" w:cs="Times New Roman"/>
                <w:b/>
                <w:color w:val="000000" w:themeColor="text1"/>
              </w:rPr>
            </w:pPr>
            <w:r w:rsidRPr="00423249">
              <w:rPr>
                <w:rFonts w:ascii="Garamond" w:hAnsi="Garamond" w:cs="Times New Roman"/>
                <w:b/>
                <w:color w:val="000000" w:themeColor="text1"/>
              </w:rPr>
              <w:t>53</w:t>
            </w:r>
            <w:r>
              <w:rPr>
                <w:rFonts w:ascii="Garamond" w:hAnsi="Garamond" w:cs="Times New Roman"/>
                <w:b/>
                <w:color w:val="000000" w:themeColor="text1"/>
              </w:rPr>
              <w:t>.4</w:t>
            </w:r>
            <w:r w:rsidRPr="00423249">
              <w:rPr>
                <w:rFonts w:ascii="Garamond" w:hAnsi="Garamond" w:cs="Times New Roman"/>
                <w:b/>
                <w:color w:val="000000" w:themeColor="text1"/>
              </w:rPr>
              <w:t>%</w:t>
            </w:r>
          </w:p>
        </w:tc>
      </w:tr>
      <w:tr w:rsidR="009B775B" w:rsidTr="00A6540D">
        <w:tc>
          <w:tcPr>
            <w:tcW w:w="630" w:type="dxa"/>
          </w:tcPr>
          <w:p w:rsidR="009B775B" w:rsidRDefault="009B775B" w:rsidP="00A6540D">
            <w:pPr>
              <w:pStyle w:val="ListParagraph"/>
              <w:ind w:left="0"/>
              <w:jc w:val="center"/>
              <w:rPr>
                <w:rFonts w:ascii="Garamond" w:hAnsi="Garamond" w:cs="Times New Roman"/>
                <w:color w:val="000000" w:themeColor="text1"/>
              </w:rPr>
            </w:pPr>
            <w:r>
              <w:rPr>
                <w:rFonts w:ascii="Garamond" w:hAnsi="Garamond" w:cs="Times New Roman"/>
                <w:color w:val="000000" w:themeColor="text1"/>
              </w:rPr>
              <w:t>(5)</w:t>
            </w:r>
          </w:p>
        </w:tc>
        <w:tc>
          <w:tcPr>
            <w:tcW w:w="2727" w:type="dxa"/>
          </w:tcPr>
          <w:p w:rsidR="009B775B" w:rsidRDefault="009B775B" w:rsidP="00A6540D">
            <w:pPr>
              <w:pStyle w:val="ListParagraph"/>
              <w:ind w:left="0"/>
              <w:jc w:val="center"/>
              <w:rPr>
                <w:rFonts w:ascii="Garamond" w:hAnsi="Garamond" w:cs="Times New Roman"/>
                <w:color w:val="000000" w:themeColor="text1"/>
              </w:rPr>
            </w:pPr>
            <w:r>
              <w:rPr>
                <w:rFonts w:ascii="Garamond" w:hAnsi="Garamond" w:cs="Times New Roman"/>
                <w:color w:val="000000" w:themeColor="text1"/>
              </w:rPr>
              <w:t>345 days</w:t>
            </w:r>
          </w:p>
        </w:tc>
        <w:tc>
          <w:tcPr>
            <w:tcW w:w="2688" w:type="dxa"/>
          </w:tcPr>
          <w:p w:rsidR="009B775B" w:rsidRPr="00423249" w:rsidRDefault="009B775B" w:rsidP="00A6540D">
            <w:pPr>
              <w:pStyle w:val="ListParagraph"/>
              <w:ind w:left="0"/>
              <w:jc w:val="center"/>
              <w:rPr>
                <w:rFonts w:ascii="Garamond" w:hAnsi="Garamond" w:cs="Times New Roman"/>
                <w:b/>
                <w:color w:val="000000" w:themeColor="text1"/>
              </w:rPr>
            </w:pPr>
            <w:r>
              <w:rPr>
                <w:rFonts w:ascii="Garamond" w:hAnsi="Garamond" w:cs="Times New Roman"/>
                <w:b/>
                <w:color w:val="000000" w:themeColor="text1"/>
              </w:rPr>
              <w:t>483</w:t>
            </w:r>
          </w:p>
        </w:tc>
        <w:tc>
          <w:tcPr>
            <w:tcW w:w="3405" w:type="dxa"/>
          </w:tcPr>
          <w:p w:rsidR="009B775B" w:rsidRPr="00423249" w:rsidRDefault="009B775B" w:rsidP="00A6540D">
            <w:pPr>
              <w:pStyle w:val="ListParagraph"/>
              <w:ind w:left="0"/>
              <w:jc w:val="center"/>
              <w:rPr>
                <w:rFonts w:ascii="Garamond" w:hAnsi="Garamond" w:cs="Times New Roman"/>
                <w:b/>
                <w:color w:val="000000" w:themeColor="text1"/>
              </w:rPr>
            </w:pPr>
            <w:r>
              <w:rPr>
                <w:rFonts w:ascii="Garamond" w:hAnsi="Garamond" w:cs="Times New Roman"/>
                <w:b/>
                <w:color w:val="000000" w:themeColor="text1"/>
              </w:rPr>
              <w:t>60.5%</w:t>
            </w:r>
          </w:p>
        </w:tc>
      </w:tr>
      <w:tr w:rsidR="009B775B" w:rsidTr="00A6540D">
        <w:tc>
          <w:tcPr>
            <w:tcW w:w="630" w:type="dxa"/>
          </w:tcPr>
          <w:p w:rsidR="009B775B" w:rsidRDefault="009B775B" w:rsidP="00A6540D">
            <w:pPr>
              <w:pStyle w:val="ListParagraph"/>
              <w:ind w:left="0"/>
              <w:jc w:val="center"/>
              <w:rPr>
                <w:rFonts w:ascii="Garamond" w:hAnsi="Garamond" w:cs="Times New Roman"/>
                <w:color w:val="000000" w:themeColor="text1"/>
              </w:rPr>
            </w:pPr>
            <w:r>
              <w:rPr>
                <w:rFonts w:ascii="Garamond" w:hAnsi="Garamond" w:cs="Times New Roman"/>
                <w:color w:val="000000" w:themeColor="text1"/>
              </w:rPr>
              <w:t>(6)</w:t>
            </w:r>
          </w:p>
        </w:tc>
        <w:tc>
          <w:tcPr>
            <w:tcW w:w="2727" w:type="dxa"/>
          </w:tcPr>
          <w:p w:rsidR="009B775B" w:rsidRPr="00DA5D83" w:rsidRDefault="009B775B" w:rsidP="00A6540D">
            <w:pPr>
              <w:pStyle w:val="ListParagraph"/>
              <w:ind w:left="0"/>
              <w:jc w:val="center"/>
              <w:rPr>
                <w:rFonts w:ascii="Garamond" w:hAnsi="Garamond" w:cs="Times New Roman"/>
                <w:color w:val="000000" w:themeColor="text1"/>
              </w:rPr>
            </w:pPr>
            <w:r>
              <w:rPr>
                <w:rFonts w:ascii="Garamond" w:hAnsi="Garamond" w:cs="Times New Roman"/>
                <w:color w:val="000000" w:themeColor="text1"/>
              </w:rPr>
              <w:t>365 days</w:t>
            </w:r>
          </w:p>
        </w:tc>
        <w:tc>
          <w:tcPr>
            <w:tcW w:w="2688" w:type="dxa"/>
          </w:tcPr>
          <w:p w:rsidR="009B775B" w:rsidRPr="00423249" w:rsidRDefault="009B775B" w:rsidP="00A6540D">
            <w:pPr>
              <w:pStyle w:val="ListParagraph"/>
              <w:ind w:left="0"/>
              <w:jc w:val="center"/>
              <w:rPr>
                <w:rFonts w:ascii="Garamond" w:hAnsi="Garamond" w:cs="Times New Roman"/>
                <w:b/>
                <w:color w:val="000000" w:themeColor="text1"/>
              </w:rPr>
            </w:pPr>
            <w:r w:rsidRPr="00423249">
              <w:rPr>
                <w:rFonts w:ascii="Garamond" w:hAnsi="Garamond" w:cs="Times New Roman"/>
                <w:b/>
                <w:color w:val="000000" w:themeColor="text1"/>
              </w:rPr>
              <w:t>507</w:t>
            </w:r>
          </w:p>
        </w:tc>
        <w:tc>
          <w:tcPr>
            <w:tcW w:w="3405" w:type="dxa"/>
          </w:tcPr>
          <w:p w:rsidR="009B775B" w:rsidRPr="00423249" w:rsidRDefault="009B775B" w:rsidP="00A6540D">
            <w:pPr>
              <w:pStyle w:val="ListParagraph"/>
              <w:ind w:left="0"/>
              <w:jc w:val="center"/>
              <w:rPr>
                <w:rFonts w:ascii="Garamond" w:hAnsi="Garamond" w:cs="Times New Roman"/>
                <w:b/>
                <w:color w:val="000000" w:themeColor="text1"/>
              </w:rPr>
            </w:pPr>
            <w:r w:rsidRPr="00423249">
              <w:rPr>
                <w:rFonts w:ascii="Garamond" w:hAnsi="Garamond" w:cs="Times New Roman"/>
                <w:b/>
                <w:color w:val="000000" w:themeColor="text1"/>
              </w:rPr>
              <w:t>63</w:t>
            </w:r>
            <w:r>
              <w:rPr>
                <w:rFonts w:ascii="Garamond" w:hAnsi="Garamond" w:cs="Times New Roman"/>
                <w:b/>
                <w:color w:val="000000" w:themeColor="text1"/>
              </w:rPr>
              <w:t>.5</w:t>
            </w:r>
            <w:r w:rsidRPr="00423249">
              <w:rPr>
                <w:rFonts w:ascii="Garamond" w:hAnsi="Garamond" w:cs="Times New Roman"/>
                <w:b/>
                <w:color w:val="000000" w:themeColor="text1"/>
              </w:rPr>
              <w:t>%</w:t>
            </w:r>
          </w:p>
        </w:tc>
      </w:tr>
    </w:tbl>
    <w:p w:rsidR="009B775B" w:rsidRDefault="009B775B" w:rsidP="009B775B">
      <w:pPr>
        <w:pStyle w:val="ListParagraph"/>
        <w:rPr>
          <w:rFonts w:ascii="Garamond" w:hAnsi="Garamond" w:cs="Times New Roman"/>
          <w:b/>
          <w:smallCaps/>
          <w:color w:val="000000" w:themeColor="text1"/>
        </w:rPr>
      </w:pPr>
    </w:p>
    <w:p w:rsidR="009B775B" w:rsidRDefault="009B775B" w:rsidP="009B775B">
      <w:pPr>
        <w:rPr>
          <w:rFonts w:cs="Times New Roman"/>
          <w:color w:val="000000" w:themeColor="text1"/>
        </w:rPr>
      </w:pPr>
      <w:r>
        <w:rPr>
          <w:rFonts w:cs="Times New Roman"/>
          <w:color w:val="000000" w:themeColor="text1"/>
        </w:rPr>
        <w:t>What happens after one year? The Warren &amp; Westbrook study found that at least three-quarters of the cases had been disposed of within 15 months, between 83% and 85% within a year and a half, and more than 92% within 2 years’ time.</w:t>
      </w:r>
      <w:r>
        <w:rPr>
          <w:rStyle w:val="FootnoteReference"/>
          <w:rFonts w:cs="Times New Roman"/>
          <w:color w:val="000000" w:themeColor="text1"/>
        </w:rPr>
        <w:footnoteReference w:id="60"/>
      </w:r>
      <w:r>
        <w:rPr>
          <w:rFonts w:cs="Times New Roman"/>
          <w:color w:val="000000" w:themeColor="text1"/>
        </w:rPr>
        <w:t xml:space="preserve">  The disposition percentages were slightly lower for each time frame in the Lawton Time study, but not substantially different from those in Warren &amp; Westbrook’s study.  For example, the Lawton Time study found that approximately 72% of the 2004 cases had been confirmed, converted or dismissed within 15 months of the order for relief. </w:t>
      </w:r>
      <w:r>
        <w:rPr>
          <w:rFonts w:cs="Times New Roman"/>
          <w:i/>
          <w:color w:val="000000" w:themeColor="text1"/>
        </w:rPr>
        <w:t xml:space="preserve">See </w:t>
      </w:r>
      <w:r>
        <w:rPr>
          <w:rFonts w:cs="Times New Roman"/>
          <w:color w:val="000000" w:themeColor="text1"/>
        </w:rPr>
        <w:t>Table II for more detailed findings from the Lawton Time study. In both the Warren &amp; Westbrook, and the Lawton Time, studies, almost 90% of the chapter 11 cases reached disposition within 2 years’ time. Thus, the pre-BAPCPA data simply does not support the Commission’s description of chapter 11 debtors “living under the protection of the Bankruptcy Code . . . literally for years.”</w:t>
      </w:r>
    </w:p>
    <w:p w:rsidR="009B775B" w:rsidRDefault="009B775B" w:rsidP="009B775B">
      <w:pPr>
        <w:ind w:left="720"/>
        <w:jc w:val="center"/>
        <w:rPr>
          <w:rFonts w:cs="Times New Roman"/>
          <w:b/>
          <w:smallCaps/>
          <w:color w:val="000000" w:themeColor="text1"/>
        </w:rPr>
      </w:pPr>
      <w:r>
        <w:rPr>
          <w:rFonts w:cs="Times New Roman"/>
          <w:b/>
          <w:smallCaps/>
          <w:color w:val="000000" w:themeColor="text1"/>
        </w:rPr>
        <w:t>Table II: One Year and Beyond</w:t>
      </w:r>
    </w:p>
    <w:tbl>
      <w:tblPr>
        <w:tblStyle w:val="TableGrid"/>
        <w:tblW w:w="0" w:type="auto"/>
        <w:tblInd w:w="108" w:type="dxa"/>
        <w:tblLook w:val="04A0" w:firstRow="1" w:lastRow="0" w:firstColumn="1" w:lastColumn="0" w:noHBand="0" w:noVBand="1"/>
      </w:tblPr>
      <w:tblGrid>
        <w:gridCol w:w="3280"/>
        <w:gridCol w:w="2719"/>
        <w:gridCol w:w="2749"/>
      </w:tblGrid>
      <w:tr w:rsidR="009B775B" w:rsidRPr="00DA5D83" w:rsidTr="00A6540D">
        <w:tc>
          <w:tcPr>
            <w:tcW w:w="3280" w:type="dxa"/>
          </w:tcPr>
          <w:p w:rsidR="009B775B" w:rsidRPr="00DA5D83" w:rsidRDefault="009B775B" w:rsidP="00A6540D">
            <w:pPr>
              <w:pStyle w:val="ListParagraph"/>
              <w:tabs>
                <w:tab w:val="left" w:pos="368"/>
              </w:tabs>
              <w:ind w:left="-720" w:firstLine="720"/>
              <w:jc w:val="center"/>
              <w:rPr>
                <w:rFonts w:ascii="Garamond" w:hAnsi="Garamond" w:cs="Times New Roman"/>
                <w:b/>
                <w:color w:val="000000" w:themeColor="text1"/>
              </w:rPr>
            </w:pPr>
            <w:r>
              <w:rPr>
                <w:rFonts w:ascii="Garamond" w:hAnsi="Garamond" w:cs="Times New Roman"/>
                <w:b/>
                <w:smallCaps/>
                <w:color w:val="000000" w:themeColor="text1"/>
              </w:rPr>
              <w:t>T</w:t>
            </w:r>
            <w:r>
              <w:rPr>
                <w:rFonts w:ascii="Garamond" w:hAnsi="Garamond" w:cs="Times New Roman"/>
                <w:b/>
                <w:color w:val="000000" w:themeColor="text1"/>
              </w:rPr>
              <w:t>ime to Disposition</w:t>
            </w:r>
          </w:p>
        </w:tc>
        <w:tc>
          <w:tcPr>
            <w:tcW w:w="2719" w:type="dxa"/>
          </w:tcPr>
          <w:p w:rsidR="009B775B" w:rsidRPr="00DA5D83" w:rsidRDefault="009B775B" w:rsidP="00A6540D">
            <w:pPr>
              <w:pStyle w:val="ListParagraph"/>
              <w:ind w:left="0"/>
              <w:jc w:val="center"/>
              <w:rPr>
                <w:rFonts w:ascii="Garamond" w:hAnsi="Garamond" w:cs="Times New Roman"/>
                <w:b/>
                <w:color w:val="000000" w:themeColor="text1"/>
              </w:rPr>
            </w:pPr>
            <w:r>
              <w:rPr>
                <w:rFonts w:ascii="Garamond" w:hAnsi="Garamond" w:cs="Times New Roman"/>
                <w:b/>
                <w:color w:val="000000" w:themeColor="text1"/>
              </w:rPr>
              <w:t>Number of Cases</w:t>
            </w:r>
          </w:p>
        </w:tc>
        <w:tc>
          <w:tcPr>
            <w:tcW w:w="2749" w:type="dxa"/>
          </w:tcPr>
          <w:p w:rsidR="009B775B" w:rsidRPr="00DA5D83" w:rsidRDefault="009B775B" w:rsidP="00A6540D">
            <w:pPr>
              <w:pStyle w:val="ListParagraph"/>
              <w:ind w:left="0"/>
              <w:jc w:val="center"/>
              <w:rPr>
                <w:rFonts w:ascii="Garamond" w:hAnsi="Garamond" w:cs="Times New Roman"/>
                <w:b/>
                <w:color w:val="000000" w:themeColor="text1"/>
              </w:rPr>
            </w:pPr>
            <w:r>
              <w:rPr>
                <w:rFonts w:ascii="Garamond" w:hAnsi="Garamond" w:cs="Times New Roman"/>
                <w:b/>
                <w:color w:val="000000" w:themeColor="text1"/>
              </w:rPr>
              <w:t>Percentage of Sample</w:t>
            </w:r>
          </w:p>
        </w:tc>
      </w:tr>
      <w:tr w:rsidR="009B775B" w:rsidTr="00A6540D">
        <w:tc>
          <w:tcPr>
            <w:tcW w:w="3280" w:type="dxa"/>
          </w:tcPr>
          <w:p w:rsidR="009B775B" w:rsidRPr="00DA5D83" w:rsidRDefault="009B775B" w:rsidP="00A6540D">
            <w:pPr>
              <w:pStyle w:val="ListParagraph"/>
              <w:tabs>
                <w:tab w:val="left" w:pos="368"/>
              </w:tabs>
              <w:ind w:left="-720" w:firstLine="720"/>
              <w:jc w:val="center"/>
              <w:rPr>
                <w:rFonts w:ascii="Garamond" w:hAnsi="Garamond" w:cs="Times New Roman"/>
                <w:color w:val="000000" w:themeColor="text1"/>
              </w:rPr>
            </w:pPr>
            <w:r>
              <w:rPr>
                <w:rFonts w:ascii="Garamond" w:hAnsi="Garamond" w:cs="Times New Roman"/>
                <w:color w:val="000000" w:themeColor="text1"/>
              </w:rPr>
              <w:t xml:space="preserve">Up to 15 months </w:t>
            </w:r>
          </w:p>
        </w:tc>
        <w:tc>
          <w:tcPr>
            <w:tcW w:w="2719" w:type="dxa"/>
          </w:tcPr>
          <w:p w:rsidR="009B775B" w:rsidRDefault="009B775B" w:rsidP="00A6540D">
            <w:pPr>
              <w:pStyle w:val="ListParagraph"/>
              <w:ind w:left="0"/>
              <w:jc w:val="center"/>
              <w:rPr>
                <w:rFonts w:ascii="Garamond" w:hAnsi="Garamond" w:cs="Times New Roman"/>
                <w:b/>
                <w:smallCaps/>
                <w:color w:val="000000" w:themeColor="text1"/>
              </w:rPr>
            </w:pPr>
            <w:r>
              <w:rPr>
                <w:rFonts w:ascii="Garamond" w:hAnsi="Garamond" w:cs="Times New Roman"/>
                <w:b/>
                <w:smallCaps/>
                <w:color w:val="000000" w:themeColor="text1"/>
              </w:rPr>
              <w:t>575</w:t>
            </w:r>
          </w:p>
        </w:tc>
        <w:tc>
          <w:tcPr>
            <w:tcW w:w="2749" w:type="dxa"/>
          </w:tcPr>
          <w:p w:rsidR="009B775B" w:rsidRDefault="009B775B" w:rsidP="00A6540D">
            <w:pPr>
              <w:pStyle w:val="ListParagraph"/>
              <w:ind w:left="0"/>
              <w:jc w:val="center"/>
              <w:rPr>
                <w:rFonts w:ascii="Garamond" w:hAnsi="Garamond" w:cs="Times New Roman"/>
                <w:b/>
                <w:smallCaps/>
                <w:color w:val="000000" w:themeColor="text1"/>
              </w:rPr>
            </w:pPr>
            <w:r>
              <w:rPr>
                <w:rFonts w:ascii="Garamond" w:hAnsi="Garamond" w:cs="Times New Roman"/>
                <w:b/>
                <w:smallCaps/>
                <w:color w:val="000000" w:themeColor="text1"/>
              </w:rPr>
              <w:t>72%</w:t>
            </w:r>
          </w:p>
        </w:tc>
      </w:tr>
      <w:tr w:rsidR="009B775B" w:rsidRPr="00423249" w:rsidTr="00A6540D">
        <w:tc>
          <w:tcPr>
            <w:tcW w:w="3280" w:type="dxa"/>
          </w:tcPr>
          <w:p w:rsidR="009B775B" w:rsidRPr="00DA5D83" w:rsidRDefault="009B775B" w:rsidP="00A6540D">
            <w:pPr>
              <w:pStyle w:val="ListParagraph"/>
              <w:tabs>
                <w:tab w:val="left" w:pos="368"/>
              </w:tabs>
              <w:ind w:left="-720" w:firstLine="720"/>
              <w:jc w:val="center"/>
              <w:rPr>
                <w:rFonts w:ascii="Garamond" w:hAnsi="Garamond" w:cs="Times New Roman"/>
                <w:color w:val="000000" w:themeColor="text1"/>
              </w:rPr>
            </w:pPr>
            <w:r>
              <w:rPr>
                <w:rFonts w:ascii="Garamond" w:hAnsi="Garamond" w:cs="Times New Roman"/>
                <w:color w:val="000000" w:themeColor="text1"/>
              </w:rPr>
              <w:t>Up to 18 months</w:t>
            </w:r>
          </w:p>
        </w:tc>
        <w:tc>
          <w:tcPr>
            <w:tcW w:w="2719" w:type="dxa"/>
          </w:tcPr>
          <w:p w:rsidR="009B775B" w:rsidRPr="00423249" w:rsidRDefault="009B775B" w:rsidP="00A6540D">
            <w:pPr>
              <w:pStyle w:val="ListParagraph"/>
              <w:ind w:left="0"/>
              <w:jc w:val="center"/>
              <w:rPr>
                <w:rFonts w:ascii="Garamond" w:hAnsi="Garamond" w:cs="Times New Roman"/>
                <w:b/>
                <w:color w:val="000000" w:themeColor="text1"/>
              </w:rPr>
            </w:pPr>
            <w:r>
              <w:rPr>
                <w:rFonts w:ascii="Garamond" w:hAnsi="Garamond" w:cs="Times New Roman"/>
                <w:b/>
                <w:color w:val="000000" w:themeColor="text1"/>
              </w:rPr>
              <w:t>638</w:t>
            </w:r>
          </w:p>
        </w:tc>
        <w:tc>
          <w:tcPr>
            <w:tcW w:w="2749" w:type="dxa"/>
          </w:tcPr>
          <w:p w:rsidR="009B775B" w:rsidRPr="00423249" w:rsidRDefault="002F5512" w:rsidP="002F5512">
            <w:pPr>
              <w:pStyle w:val="ListParagraph"/>
              <w:ind w:left="0"/>
              <w:jc w:val="center"/>
              <w:rPr>
                <w:rFonts w:ascii="Garamond" w:hAnsi="Garamond" w:cs="Times New Roman"/>
                <w:b/>
                <w:color w:val="000000" w:themeColor="text1"/>
              </w:rPr>
            </w:pPr>
            <w:r>
              <w:rPr>
                <w:rFonts w:ascii="Garamond" w:hAnsi="Garamond" w:cs="Times New Roman"/>
                <w:b/>
                <w:color w:val="000000" w:themeColor="text1"/>
              </w:rPr>
              <w:t>80</w:t>
            </w:r>
            <w:r w:rsidR="009B775B">
              <w:rPr>
                <w:rFonts w:ascii="Garamond" w:hAnsi="Garamond" w:cs="Times New Roman"/>
                <w:b/>
                <w:color w:val="000000" w:themeColor="text1"/>
              </w:rPr>
              <w:t>%</w:t>
            </w:r>
          </w:p>
        </w:tc>
      </w:tr>
      <w:tr w:rsidR="009B775B" w:rsidRPr="00423249" w:rsidTr="00A6540D">
        <w:tc>
          <w:tcPr>
            <w:tcW w:w="3280" w:type="dxa"/>
          </w:tcPr>
          <w:p w:rsidR="009B775B" w:rsidRPr="00DA5D83" w:rsidRDefault="009B775B" w:rsidP="00A6540D">
            <w:pPr>
              <w:pStyle w:val="ListParagraph"/>
              <w:tabs>
                <w:tab w:val="left" w:pos="368"/>
              </w:tabs>
              <w:ind w:left="-720" w:firstLine="720"/>
              <w:jc w:val="center"/>
              <w:rPr>
                <w:rFonts w:ascii="Garamond" w:hAnsi="Garamond" w:cs="Times New Roman"/>
                <w:color w:val="000000" w:themeColor="text1"/>
              </w:rPr>
            </w:pPr>
            <w:r>
              <w:rPr>
                <w:rFonts w:ascii="Garamond" w:hAnsi="Garamond" w:cs="Times New Roman"/>
                <w:color w:val="000000" w:themeColor="text1"/>
              </w:rPr>
              <w:t>Up to 2 Years</w:t>
            </w:r>
          </w:p>
        </w:tc>
        <w:tc>
          <w:tcPr>
            <w:tcW w:w="2719" w:type="dxa"/>
          </w:tcPr>
          <w:p w:rsidR="009B775B" w:rsidRPr="00423249" w:rsidRDefault="009B775B" w:rsidP="00A6540D">
            <w:pPr>
              <w:pStyle w:val="ListParagraph"/>
              <w:ind w:left="0"/>
              <w:jc w:val="center"/>
              <w:rPr>
                <w:rFonts w:ascii="Garamond" w:hAnsi="Garamond" w:cs="Times New Roman"/>
                <w:b/>
                <w:color w:val="000000" w:themeColor="text1"/>
              </w:rPr>
            </w:pPr>
            <w:r>
              <w:rPr>
                <w:rFonts w:ascii="Garamond" w:hAnsi="Garamond" w:cs="Times New Roman"/>
                <w:b/>
                <w:color w:val="000000" w:themeColor="text1"/>
              </w:rPr>
              <w:t>713</w:t>
            </w:r>
          </w:p>
        </w:tc>
        <w:tc>
          <w:tcPr>
            <w:tcW w:w="2749" w:type="dxa"/>
          </w:tcPr>
          <w:p w:rsidR="009B775B" w:rsidRPr="00423249" w:rsidRDefault="009B775B" w:rsidP="002F5512">
            <w:pPr>
              <w:pStyle w:val="ListParagraph"/>
              <w:ind w:left="0"/>
              <w:jc w:val="center"/>
              <w:rPr>
                <w:rFonts w:ascii="Garamond" w:hAnsi="Garamond" w:cs="Times New Roman"/>
                <w:b/>
                <w:color w:val="000000" w:themeColor="text1"/>
              </w:rPr>
            </w:pPr>
            <w:r>
              <w:rPr>
                <w:rFonts w:ascii="Garamond" w:hAnsi="Garamond" w:cs="Times New Roman"/>
                <w:b/>
                <w:color w:val="000000" w:themeColor="text1"/>
              </w:rPr>
              <w:t>89%</w:t>
            </w:r>
          </w:p>
        </w:tc>
      </w:tr>
      <w:tr w:rsidR="009B775B" w:rsidRPr="00423249" w:rsidTr="00A6540D">
        <w:tc>
          <w:tcPr>
            <w:tcW w:w="3280" w:type="dxa"/>
          </w:tcPr>
          <w:p w:rsidR="009B775B" w:rsidRPr="00DA5D83" w:rsidRDefault="009B775B" w:rsidP="00A6540D">
            <w:pPr>
              <w:pStyle w:val="ListParagraph"/>
              <w:tabs>
                <w:tab w:val="left" w:pos="368"/>
              </w:tabs>
              <w:ind w:left="-720" w:firstLine="720"/>
              <w:jc w:val="center"/>
              <w:rPr>
                <w:rFonts w:ascii="Garamond" w:hAnsi="Garamond" w:cs="Times New Roman"/>
                <w:color w:val="000000" w:themeColor="text1"/>
              </w:rPr>
            </w:pPr>
            <w:r>
              <w:rPr>
                <w:rFonts w:ascii="Garamond" w:hAnsi="Garamond" w:cs="Times New Roman"/>
                <w:color w:val="000000" w:themeColor="text1"/>
              </w:rPr>
              <w:t>Greater than 2 Years</w:t>
            </w:r>
          </w:p>
        </w:tc>
        <w:tc>
          <w:tcPr>
            <w:tcW w:w="2719" w:type="dxa"/>
          </w:tcPr>
          <w:p w:rsidR="009B775B" w:rsidRPr="00423249" w:rsidRDefault="009B775B" w:rsidP="00A6540D">
            <w:pPr>
              <w:pStyle w:val="ListParagraph"/>
              <w:ind w:left="0"/>
              <w:jc w:val="center"/>
              <w:rPr>
                <w:rFonts w:ascii="Garamond" w:hAnsi="Garamond" w:cs="Times New Roman"/>
                <w:b/>
                <w:color w:val="000000" w:themeColor="text1"/>
              </w:rPr>
            </w:pPr>
            <w:r>
              <w:rPr>
                <w:rFonts w:ascii="Garamond" w:hAnsi="Garamond" w:cs="Times New Roman"/>
                <w:b/>
                <w:color w:val="000000" w:themeColor="text1"/>
              </w:rPr>
              <w:t>799</w:t>
            </w:r>
          </w:p>
        </w:tc>
        <w:tc>
          <w:tcPr>
            <w:tcW w:w="2749" w:type="dxa"/>
          </w:tcPr>
          <w:p w:rsidR="009B775B" w:rsidRPr="00423249" w:rsidRDefault="009B775B" w:rsidP="00A6540D">
            <w:pPr>
              <w:pStyle w:val="ListParagraph"/>
              <w:ind w:left="0"/>
              <w:jc w:val="center"/>
              <w:rPr>
                <w:rFonts w:ascii="Garamond" w:hAnsi="Garamond" w:cs="Times New Roman"/>
                <w:b/>
                <w:color w:val="000000" w:themeColor="text1"/>
              </w:rPr>
            </w:pPr>
            <w:r>
              <w:rPr>
                <w:rFonts w:ascii="Garamond" w:hAnsi="Garamond" w:cs="Times New Roman"/>
                <w:b/>
                <w:color w:val="000000" w:themeColor="text1"/>
              </w:rPr>
              <w:t>100</w:t>
            </w:r>
            <w:r w:rsidRPr="00423249">
              <w:rPr>
                <w:rFonts w:ascii="Garamond" w:hAnsi="Garamond" w:cs="Times New Roman"/>
                <w:b/>
                <w:color w:val="000000" w:themeColor="text1"/>
              </w:rPr>
              <w:t>%</w:t>
            </w:r>
          </w:p>
        </w:tc>
      </w:tr>
    </w:tbl>
    <w:p w:rsidR="009B775B" w:rsidRDefault="009B775B" w:rsidP="009B775B">
      <w:pPr>
        <w:ind w:left="720"/>
        <w:rPr>
          <w:rFonts w:cs="Times New Roman"/>
          <w:color w:val="000000" w:themeColor="text1"/>
        </w:rPr>
      </w:pPr>
    </w:p>
    <w:p w:rsidR="00576BC5" w:rsidRPr="00576BC5" w:rsidRDefault="009B775B" w:rsidP="005E763C">
      <w:pPr>
        <w:pStyle w:val="FootnoteText"/>
      </w:pPr>
      <w:r w:rsidRPr="00576BC5">
        <w:t xml:space="preserve">Of those cases without a disposition after one year’s time, what percentage would qualify as small business debtors? The Warren &amp; Westbrook study did not analyze the data in this fashion.  But, Table III provides data from the Lawton Time study using </w:t>
      </w:r>
      <w:r w:rsidR="002F5512">
        <w:t>the</w:t>
      </w:r>
      <w:r w:rsidRPr="00576BC5">
        <w:t xml:space="preserve"> simplified definition of a small business debtor </w:t>
      </w:r>
      <w:r w:rsidR="002F5512">
        <w:t xml:space="preserve">proposed in Part I </w:t>
      </w:r>
      <w:r w:rsidRPr="00576BC5">
        <w:t xml:space="preserve">– any debtor, whether engaged in business or not, in which total liabilities were $2 million or less (the statutory debt limit in 2004) and in which no official creditors’ committee had formed. </w:t>
      </w:r>
      <w:r w:rsidR="00576BC5" w:rsidRPr="00576BC5">
        <w:t xml:space="preserve">The analysis in Table III is based solely on the total liabilities of </w:t>
      </w:r>
      <w:r w:rsidR="00576BC5" w:rsidRPr="002F5512">
        <w:rPr>
          <w:i/>
        </w:rPr>
        <w:t>each</w:t>
      </w:r>
      <w:r w:rsidR="00576BC5" w:rsidRPr="00576BC5">
        <w:t xml:space="preserve"> debtor </w:t>
      </w:r>
      <w:r w:rsidR="00576BC5" w:rsidRPr="00576BC5">
        <w:lastRenderedPageBreak/>
        <w:t xml:space="preserve">in the sample. It does not </w:t>
      </w:r>
      <w:r w:rsidR="002F5512">
        <w:t xml:space="preserve">take into account liability totals for groups of affiliated debtors, </w:t>
      </w:r>
      <w:r w:rsidR="00576BC5" w:rsidRPr="00576BC5">
        <w:t xml:space="preserve">as provided for by §101(51D)(B). </w:t>
      </w:r>
      <w:r w:rsidR="002F5512">
        <w:t>That data is presented in Table IV.</w:t>
      </w:r>
      <w:r w:rsidR="00D31400">
        <w:rPr>
          <w:rStyle w:val="FootnoteReference"/>
        </w:rPr>
        <w:footnoteReference w:id="61"/>
      </w:r>
    </w:p>
    <w:p w:rsidR="009B775B" w:rsidRDefault="009B775B" w:rsidP="005E763C">
      <w:pPr>
        <w:spacing w:after="0"/>
        <w:rPr>
          <w:rFonts w:cs="Times New Roman"/>
          <w:color w:val="000000" w:themeColor="text1"/>
        </w:rPr>
      </w:pPr>
    </w:p>
    <w:p w:rsidR="009B775B" w:rsidRDefault="009B775B" w:rsidP="005E763C">
      <w:pPr>
        <w:spacing w:after="0"/>
        <w:jc w:val="center"/>
        <w:rPr>
          <w:rFonts w:cs="Times New Roman"/>
          <w:b/>
          <w:color w:val="000000" w:themeColor="text1"/>
          <w:vertAlign w:val="superscript"/>
        </w:rPr>
      </w:pPr>
      <w:r>
        <w:rPr>
          <w:rFonts w:cs="Times New Roman"/>
          <w:b/>
          <w:smallCaps/>
          <w:color w:val="000000" w:themeColor="text1"/>
        </w:rPr>
        <w:t>Table III: Small Businesses 346 Days and Beyond</w:t>
      </w:r>
    </w:p>
    <w:tbl>
      <w:tblPr>
        <w:tblStyle w:val="TableGrid"/>
        <w:tblW w:w="8561" w:type="dxa"/>
        <w:tblInd w:w="108" w:type="dxa"/>
        <w:tblLook w:val="04A0" w:firstRow="1" w:lastRow="0" w:firstColumn="1" w:lastColumn="0" w:noHBand="0" w:noVBand="1"/>
      </w:tblPr>
      <w:tblGrid>
        <w:gridCol w:w="475"/>
        <w:gridCol w:w="1775"/>
        <w:gridCol w:w="1465"/>
        <w:gridCol w:w="1325"/>
        <w:gridCol w:w="1620"/>
        <w:gridCol w:w="1901"/>
      </w:tblGrid>
      <w:tr w:rsidR="009B775B" w:rsidTr="00A6540D">
        <w:tc>
          <w:tcPr>
            <w:tcW w:w="475" w:type="dxa"/>
          </w:tcPr>
          <w:p w:rsidR="009B775B" w:rsidRDefault="009B775B" w:rsidP="00A6540D">
            <w:pPr>
              <w:spacing w:after="100" w:afterAutospacing="1"/>
              <w:jc w:val="center"/>
              <w:rPr>
                <w:rFonts w:ascii="Garamond" w:hAnsi="Garamond" w:cs="Times New Roman"/>
                <w:b/>
                <w:smallCaps/>
                <w:color w:val="000000" w:themeColor="text1"/>
              </w:rPr>
            </w:pPr>
          </w:p>
        </w:tc>
        <w:tc>
          <w:tcPr>
            <w:tcW w:w="1775" w:type="dxa"/>
          </w:tcPr>
          <w:p w:rsidR="009B775B" w:rsidRDefault="009B775B" w:rsidP="00A6540D">
            <w:pPr>
              <w:spacing w:after="100" w:afterAutospacing="1"/>
              <w:jc w:val="center"/>
              <w:rPr>
                <w:rFonts w:ascii="Garamond" w:hAnsi="Garamond" w:cs="Times New Roman"/>
                <w:b/>
                <w:smallCaps/>
                <w:color w:val="000000" w:themeColor="text1"/>
              </w:rPr>
            </w:pPr>
            <w:r>
              <w:rPr>
                <w:rFonts w:ascii="Garamond" w:hAnsi="Garamond" w:cs="Times New Roman"/>
                <w:b/>
                <w:smallCaps/>
                <w:color w:val="000000" w:themeColor="text1"/>
              </w:rPr>
              <w:t>A</w:t>
            </w:r>
          </w:p>
        </w:tc>
        <w:tc>
          <w:tcPr>
            <w:tcW w:w="1465" w:type="dxa"/>
          </w:tcPr>
          <w:p w:rsidR="009B775B" w:rsidRDefault="009B775B" w:rsidP="00A6540D">
            <w:pPr>
              <w:spacing w:after="100" w:afterAutospacing="1"/>
              <w:jc w:val="center"/>
              <w:rPr>
                <w:rFonts w:ascii="Garamond" w:hAnsi="Garamond" w:cs="Times New Roman"/>
                <w:b/>
                <w:color w:val="000000" w:themeColor="text1"/>
              </w:rPr>
            </w:pPr>
            <w:r>
              <w:rPr>
                <w:rFonts w:ascii="Garamond" w:hAnsi="Garamond" w:cs="Times New Roman"/>
                <w:b/>
                <w:color w:val="000000" w:themeColor="text1"/>
              </w:rPr>
              <w:t>B</w:t>
            </w:r>
          </w:p>
        </w:tc>
        <w:tc>
          <w:tcPr>
            <w:tcW w:w="1325" w:type="dxa"/>
          </w:tcPr>
          <w:p w:rsidR="009B775B" w:rsidRDefault="009B775B" w:rsidP="00A6540D">
            <w:pPr>
              <w:spacing w:after="100" w:afterAutospacing="1"/>
              <w:jc w:val="center"/>
              <w:rPr>
                <w:rFonts w:ascii="Garamond" w:hAnsi="Garamond" w:cs="Times New Roman"/>
                <w:b/>
                <w:color w:val="000000" w:themeColor="text1"/>
              </w:rPr>
            </w:pPr>
            <w:r>
              <w:rPr>
                <w:rFonts w:ascii="Garamond" w:hAnsi="Garamond" w:cs="Times New Roman"/>
                <w:b/>
                <w:color w:val="000000" w:themeColor="text1"/>
              </w:rPr>
              <w:t>C</w:t>
            </w:r>
          </w:p>
        </w:tc>
        <w:tc>
          <w:tcPr>
            <w:tcW w:w="1620" w:type="dxa"/>
          </w:tcPr>
          <w:p w:rsidR="009B775B" w:rsidRDefault="009B775B" w:rsidP="00A6540D">
            <w:pPr>
              <w:spacing w:after="100" w:afterAutospacing="1"/>
              <w:jc w:val="center"/>
              <w:rPr>
                <w:rFonts w:ascii="Garamond" w:hAnsi="Garamond" w:cs="Times New Roman"/>
                <w:b/>
                <w:color w:val="000000" w:themeColor="text1"/>
              </w:rPr>
            </w:pPr>
            <w:r>
              <w:rPr>
                <w:rFonts w:ascii="Garamond" w:hAnsi="Garamond" w:cs="Times New Roman"/>
                <w:b/>
                <w:color w:val="000000" w:themeColor="text1"/>
              </w:rPr>
              <w:t>D</w:t>
            </w:r>
          </w:p>
        </w:tc>
        <w:tc>
          <w:tcPr>
            <w:tcW w:w="1901" w:type="dxa"/>
          </w:tcPr>
          <w:p w:rsidR="009B775B" w:rsidRDefault="009B775B" w:rsidP="00A6540D">
            <w:pPr>
              <w:spacing w:after="100" w:afterAutospacing="1"/>
              <w:jc w:val="center"/>
              <w:rPr>
                <w:rFonts w:ascii="Garamond" w:hAnsi="Garamond" w:cs="Times New Roman"/>
                <w:b/>
                <w:color w:val="000000" w:themeColor="text1"/>
              </w:rPr>
            </w:pPr>
            <w:r>
              <w:rPr>
                <w:rFonts w:ascii="Garamond" w:hAnsi="Garamond" w:cs="Times New Roman"/>
                <w:b/>
                <w:color w:val="000000" w:themeColor="text1"/>
              </w:rPr>
              <w:t>E</w:t>
            </w:r>
          </w:p>
        </w:tc>
      </w:tr>
      <w:tr w:rsidR="009B775B" w:rsidTr="00A6540D">
        <w:tc>
          <w:tcPr>
            <w:tcW w:w="475" w:type="dxa"/>
          </w:tcPr>
          <w:p w:rsidR="009B775B" w:rsidRDefault="009B775B" w:rsidP="00A6540D">
            <w:pPr>
              <w:spacing w:after="100" w:afterAutospacing="1"/>
              <w:rPr>
                <w:rFonts w:ascii="Garamond" w:hAnsi="Garamond" w:cs="Times New Roman"/>
                <w:b/>
                <w:smallCaps/>
                <w:color w:val="000000" w:themeColor="text1"/>
              </w:rPr>
            </w:pPr>
          </w:p>
        </w:tc>
        <w:tc>
          <w:tcPr>
            <w:tcW w:w="1775" w:type="dxa"/>
          </w:tcPr>
          <w:p w:rsidR="009B775B" w:rsidRPr="00B90297" w:rsidRDefault="009B775B" w:rsidP="00A6540D">
            <w:pPr>
              <w:spacing w:after="100" w:afterAutospacing="1"/>
              <w:rPr>
                <w:rFonts w:ascii="Garamond" w:hAnsi="Garamond" w:cs="Times New Roman"/>
                <w:b/>
                <w:color w:val="000000" w:themeColor="text1"/>
                <w:sz w:val="24"/>
                <w:szCs w:val="24"/>
                <w:vertAlign w:val="superscript"/>
              </w:rPr>
            </w:pPr>
            <w:r>
              <w:rPr>
                <w:rFonts w:ascii="Garamond" w:hAnsi="Garamond" w:cs="Times New Roman"/>
                <w:b/>
                <w:smallCaps/>
                <w:color w:val="000000" w:themeColor="text1"/>
              </w:rPr>
              <w:t>T</w:t>
            </w:r>
            <w:r>
              <w:rPr>
                <w:rFonts w:ascii="Garamond" w:hAnsi="Garamond" w:cs="Times New Roman"/>
                <w:b/>
                <w:color w:val="000000" w:themeColor="text1"/>
              </w:rPr>
              <w:t>ime to Disposition</w:t>
            </w:r>
          </w:p>
        </w:tc>
        <w:tc>
          <w:tcPr>
            <w:tcW w:w="1465" w:type="dxa"/>
          </w:tcPr>
          <w:p w:rsidR="009B775B" w:rsidRDefault="009B775B" w:rsidP="00A6540D">
            <w:pPr>
              <w:spacing w:after="100" w:afterAutospacing="1"/>
              <w:jc w:val="center"/>
              <w:rPr>
                <w:rFonts w:ascii="Garamond" w:hAnsi="Garamond" w:cs="Times New Roman"/>
                <w:b/>
                <w:color w:val="000000" w:themeColor="text1"/>
                <w:vertAlign w:val="superscript"/>
              </w:rPr>
            </w:pPr>
            <w:r>
              <w:rPr>
                <w:rFonts w:ascii="Garamond" w:hAnsi="Garamond" w:cs="Times New Roman"/>
                <w:b/>
                <w:color w:val="000000" w:themeColor="text1"/>
              </w:rPr>
              <w:t>Small Business (SB) Cases reaching disposition</w:t>
            </w:r>
          </w:p>
        </w:tc>
        <w:tc>
          <w:tcPr>
            <w:tcW w:w="1325" w:type="dxa"/>
          </w:tcPr>
          <w:p w:rsidR="009B775B" w:rsidRDefault="009B775B" w:rsidP="00A6540D">
            <w:pPr>
              <w:spacing w:after="100" w:afterAutospacing="1"/>
              <w:jc w:val="center"/>
              <w:rPr>
                <w:rFonts w:ascii="Garamond" w:hAnsi="Garamond" w:cs="Times New Roman"/>
                <w:b/>
                <w:color w:val="000000" w:themeColor="text1"/>
                <w:vertAlign w:val="superscript"/>
              </w:rPr>
            </w:pPr>
            <w:r>
              <w:rPr>
                <w:rFonts w:ascii="Garamond" w:hAnsi="Garamond" w:cs="Times New Roman"/>
                <w:b/>
                <w:color w:val="000000" w:themeColor="text1"/>
              </w:rPr>
              <w:t>Total Chapter 11 Cases reaching disposition</w:t>
            </w:r>
          </w:p>
        </w:tc>
        <w:tc>
          <w:tcPr>
            <w:tcW w:w="1620" w:type="dxa"/>
          </w:tcPr>
          <w:p w:rsidR="009B775B" w:rsidRDefault="009B775B" w:rsidP="00A6540D">
            <w:pPr>
              <w:spacing w:after="100" w:afterAutospacing="1"/>
              <w:jc w:val="center"/>
              <w:rPr>
                <w:rFonts w:ascii="Garamond" w:hAnsi="Garamond" w:cs="Times New Roman"/>
                <w:b/>
                <w:color w:val="000000" w:themeColor="text1"/>
              </w:rPr>
            </w:pPr>
            <w:r>
              <w:rPr>
                <w:rFonts w:ascii="Garamond" w:hAnsi="Garamond" w:cs="Times New Roman"/>
                <w:b/>
                <w:color w:val="000000" w:themeColor="text1"/>
              </w:rPr>
              <w:t>SB as % of all cases reaching disposition</w:t>
            </w:r>
          </w:p>
        </w:tc>
        <w:tc>
          <w:tcPr>
            <w:tcW w:w="1901" w:type="dxa"/>
          </w:tcPr>
          <w:p w:rsidR="009B775B" w:rsidRDefault="009B775B" w:rsidP="00667547">
            <w:pPr>
              <w:spacing w:after="100" w:afterAutospacing="1"/>
              <w:jc w:val="center"/>
              <w:rPr>
                <w:rFonts w:ascii="Garamond" w:hAnsi="Garamond" w:cs="Times New Roman"/>
                <w:b/>
                <w:color w:val="000000" w:themeColor="text1"/>
              </w:rPr>
            </w:pPr>
            <w:r>
              <w:rPr>
                <w:rFonts w:ascii="Garamond" w:hAnsi="Garamond" w:cs="Times New Roman"/>
                <w:b/>
                <w:color w:val="000000" w:themeColor="text1"/>
              </w:rPr>
              <w:t xml:space="preserve">SB as % of initial </w:t>
            </w:r>
            <w:r w:rsidR="00667547">
              <w:rPr>
                <w:rFonts w:ascii="Garamond" w:hAnsi="Garamond" w:cs="Times New Roman"/>
                <w:b/>
                <w:color w:val="000000" w:themeColor="text1"/>
              </w:rPr>
              <w:t>799</w:t>
            </w:r>
            <w:r>
              <w:rPr>
                <w:rFonts w:ascii="Garamond" w:hAnsi="Garamond" w:cs="Times New Roman"/>
                <w:b/>
                <w:color w:val="000000" w:themeColor="text1"/>
              </w:rPr>
              <w:t>-case sample</w:t>
            </w:r>
          </w:p>
        </w:tc>
      </w:tr>
      <w:tr w:rsidR="009B775B" w:rsidTr="00A6540D">
        <w:tc>
          <w:tcPr>
            <w:tcW w:w="475" w:type="dxa"/>
          </w:tcPr>
          <w:p w:rsidR="009B775B" w:rsidRDefault="009B775B" w:rsidP="00A6540D">
            <w:pPr>
              <w:spacing w:after="100" w:afterAutospacing="1"/>
              <w:rPr>
                <w:rFonts w:ascii="Garamond" w:hAnsi="Garamond" w:cs="Times New Roman"/>
                <w:smallCaps/>
                <w:color w:val="000000" w:themeColor="text1"/>
              </w:rPr>
            </w:pPr>
            <w:r>
              <w:rPr>
                <w:rFonts w:ascii="Garamond" w:hAnsi="Garamond" w:cs="Times New Roman"/>
                <w:smallCaps/>
                <w:color w:val="000000" w:themeColor="text1"/>
              </w:rPr>
              <w:t>(1)</w:t>
            </w:r>
          </w:p>
        </w:tc>
        <w:tc>
          <w:tcPr>
            <w:tcW w:w="1775" w:type="dxa"/>
          </w:tcPr>
          <w:p w:rsidR="009B775B" w:rsidRPr="00EF359C" w:rsidRDefault="009B775B" w:rsidP="00A6540D">
            <w:pPr>
              <w:spacing w:after="100" w:afterAutospacing="1"/>
              <w:rPr>
                <w:rFonts w:ascii="Garamond" w:hAnsi="Garamond" w:cs="Times New Roman"/>
                <w:color w:val="000000" w:themeColor="text1"/>
              </w:rPr>
            </w:pPr>
            <w:r>
              <w:rPr>
                <w:rFonts w:ascii="Garamond" w:hAnsi="Garamond" w:cs="Times New Roman"/>
                <w:smallCaps/>
                <w:color w:val="000000" w:themeColor="text1"/>
              </w:rPr>
              <w:t xml:space="preserve">346 </w:t>
            </w:r>
            <w:r>
              <w:rPr>
                <w:rFonts w:ascii="Garamond" w:hAnsi="Garamond" w:cs="Times New Roman"/>
                <w:color w:val="000000" w:themeColor="text1"/>
              </w:rPr>
              <w:t>Days to 1 Year</w:t>
            </w:r>
          </w:p>
        </w:tc>
        <w:tc>
          <w:tcPr>
            <w:tcW w:w="1465" w:type="dxa"/>
          </w:tcPr>
          <w:p w:rsidR="009B775B" w:rsidRPr="00EF359C" w:rsidRDefault="009B775B" w:rsidP="00A6540D">
            <w:pPr>
              <w:spacing w:after="100" w:afterAutospacing="1"/>
              <w:jc w:val="center"/>
              <w:rPr>
                <w:rFonts w:ascii="Garamond" w:hAnsi="Garamond" w:cs="Times New Roman"/>
                <w:color w:val="000000" w:themeColor="text1"/>
              </w:rPr>
            </w:pPr>
            <w:r w:rsidRPr="00EF359C">
              <w:rPr>
                <w:rFonts w:ascii="Garamond" w:hAnsi="Garamond" w:cs="Times New Roman"/>
                <w:color w:val="000000" w:themeColor="text1"/>
              </w:rPr>
              <w:t>1</w:t>
            </w:r>
            <w:r>
              <w:rPr>
                <w:rFonts w:ascii="Garamond" w:hAnsi="Garamond" w:cs="Times New Roman"/>
                <w:color w:val="000000" w:themeColor="text1"/>
              </w:rPr>
              <w:t>4</w:t>
            </w:r>
          </w:p>
        </w:tc>
        <w:tc>
          <w:tcPr>
            <w:tcW w:w="1325" w:type="dxa"/>
          </w:tcPr>
          <w:p w:rsidR="009B775B" w:rsidRPr="00CA70F8" w:rsidRDefault="009B775B" w:rsidP="00A6540D">
            <w:pPr>
              <w:spacing w:after="100" w:afterAutospacing="1"/>
              <w:jc w:val="center"/>
              <w:rPr>
                <w:rFonts w:ascii="Garamond" w:hAnsi="Garamond" w:cs="Times New Roman"/>
                <w:color w:val="000000" w:themeColor="text1"/>
              </w:rPr>
            </w:pPr>
            <w:r w:rsidRPr="00CA70F8">
              <w:rPr>
                <w:rFonts w:ascii="Garamond" w:hAnsi="Garamond" w:cs="Times New Roman"/>
                <w:color w:val="000000" w:themeColor="text1"/>
              </w:rPr>
              <w:t>2</w:t>
            </w:r>
            <w:r>
              <w:rPr>
                <w:rFonts w:ascii="Garamond" w:hAnsi="Garamond" w:cs="Times New Roman"/>
                <w:color w:val="000000" w:themeColor="text1"/>
              </w:rPr>
              <w:t>4</w:t>
            </w:r>
          </w:p>
        </w:tc>
        <w:tc>
          <w:tcPr>
            <w:tcW w:w="1620" w:type="dxa"/>
          </w:tcPr>
          <w:p w:rsidR="009B775B" w:rsidRPr="00CA70F8" w:rsidRDefault="009B775B" w:rsidP="00A6540D">
            <w:pPr>
              <w:spacing w:after="100" w:afterAutospacing="1"/>
              <w:jc w:val="center"/>
              <w:rPr>
                <w:rFonts w:ascii="Garamond" w:hAnsi="Garamond" w:cs="Times New Roman"/>
                <w:color w:val="000000" w:themeColor="text1"/>
              </w:rPr>
            </w:pPr>
            <w:r>
              <w:rPr>
                <w:rFonts w:ascii="Garamond" w:hAnsi="Garamond" w:cs="Times New Roman"/>
                <w:color w:val="000000" w:themeColor="text1"/>
              </w:rPr>
              <w:t>14/24 = 58%</w:t>
            </w:r>
          </w:p>
        </w:tc>
        <w:tc>
          <w:tcPr>
            <w:tcW w:w="1901" w:type="dxa"/>
          </w:tcPr>
          <w:p w:rsidR="009B775B" w:rsidRPr="00CA70F8" w:rsidRDefault="009B775B" w:rsidP="00A6540D">
            <w:pPr>
              <w:spacing w:after="100" w:afterAutospacing="1"/>
              <w:jc w:val="center"/>
              <w:rPr>
                <w:rFonts w:ascii="Garamond" w:hAnsi="Garamond" w:cs="Times New Roman"/>
                <w:color w:val="000000" w:themeColor="text1"/>
              </w:rPr>
            </w:pPr>
            <w:r>
              <w:rPr>
                <w:rFonts w:ascii="Garamond" w:hAnsi="Garamond" w:cs="Times New Roman"/>
                <w:color w:val="000000" w:themeColor="text1"/>
              </w:rPr>
              <w:t xml:space="preserve">14/799 = </w:t>
            </w:r>
            <w:r w:rsidRPr="00CA70F8">
              <w:rPr>
                <w:rFonts w:ascii="Garamond" w:hAnsi="Garamond" w:cs="Times New Roman"/>
                <w:color w:val="000000" w:themeColor="text1"/>
              </w:rPr>
              <w:t>1.</w:t>
            </w:r>
            <w:r>
              <w:rPr>
                <w:rFonts w:ascii="Garamond" w:hAnsi="Garamond" w:cs="Times New Roman"/>
                <w:color w:val="000000" w:themeColor="text1"/>
              </w:rPr>
              <w:t>8</w:t>
            </w:r>
            <w:r w:rsidRPr="00CA70F8">
              <w:rPr>
                <w:rFonts w:ascii="Garamond" w:hAnsi="Garamond" w:cs="Times New Roman"/>
                <w:color w:val="000000" w:themeColor="text1"/>
              </w:rPr>
              <w:t>%</w:t>
            </w:r>
          </w:p>
        </w:tc>
      </w:tr>
      <w:tr w:rsidR="009B775B" w:rsidTr="00A6540D">
        <w:tc>
          <w:tcPr>
            <w:tcW w:w="475" w:type="dxa"/>
          </w:tcPr>
          <w:p w:rsidR="009B775B" w:rsidRDefault="009B775B" w:rsidP="00A6540D">
            <w:pPr>
              <w:spacing w:after="100" w:afterAutospacing="1"/>
              <w:rPr>
                <w:rFonts w:ascii="Garamond" w:hAnsi="Garamond" w:cs="Times New Roman"/>
                <w:color w:val="000000" w:themeColor="text1"/>
              </w:rPr>
            </w:pPr>
            <w:r>
              <w:rPr>
                <w:rFonts w:ascii="Garamond" w:hAnsi="Garamond" w:cs="Times New Roman"/>
                <w:color w:val="000000" w:themeColor="text1"/>
              </w:rPr>
              <w:t>(2)</w:t>
            </w:r>
          </w:p>
        </w:tc>
        <w:tc>
          <w:tcPr>
            <w:tcW w:w="1775" w:type="dxa"/>
          </w:tcPr>
          <w:p w:rsidR="009B775B" w:rsidRPr="003C4392" w:rsidRDefault="009B775B" w:rsidP="00A6540D">
            <w:pPr>
              <w:spacing w:after="100" w:afterAutospacing="1"/>
              <w:rPr>
                <w:rFonts w:ascii="Garamond" w:hAnsi="Garamond" w:cs="Times New Roman"/>
                <w:color w:val="000000" w:themeColor="text1"/>
              </w:rPr>
            </w:pPr>
            <w:r>
              <w:rPr>
                <w:rFonts w:ascii="Garamond" w:hAnsi="Garamond" w:cs="Times New Roman"/>
                <w:color w:val="000000" w:themeColor="text1"/>
              </w:rPr>
              <w:t>366 – 456 Days (15 mos.)</w:t>
            </w:r>
          </w:p>
        </w:tc>
        <w:tc>
          <w:tcPr>
            <w:tcW w:w="1465" w:type="dxa"/>
          </w:tcPr>
          <w:p w:rsidR="009B775B" w:rsidRPr="003C4392" w:rsidRDefault="009B775B" w:rsidP="00A6540D">
            <w:pPr>
              <w:spacing w:after="100" w:afterAutospacing="1"/>
              <w:jc w:val="center"/>
              <w:rPr>
                <w:rFonts w:ascii="Garamond" w:hAnsi="Garamond" w:cs="Times New Roman"/>
                <w:color w:val="000000" w:themeColor="text1"/>
              </w:rPr>
            </w:pPr>
            <w:r>
              <w:rPr>
                <w:rFonts w:ascii="Garamond" w:hAnsi="Garamond" w:cs="Times New Roman"/>
                <w:color w:val="000000" w:themeColor="text1"/>
              </w:rPr>
              <w:t>44</w:t>
            </w:r>
          </w:p>
        </w:tc>
        <w:tc>
          <w:tcPr>
            <w:tcW w:w="1325" w:type="dxa"/>
          </w:tcPr>
          <w:p w:rsidR="009B775B" w:rsidRPr="000564F7" w:rsidRDefault="009B775B" w:rsidP="00A6540D">
            <w:pPr>
              <w:spacing w:after="100" w:afterAutospacing="1"/>
              <w:jc w:val="center"/>
              <w:rPr>
                <w:rFonts w:ascii="Garamond" w:hAnsi="Garamond" w:cs="Times New Roman"/>
                <w:color w:val="000000" w:themeColor="text1"/>
              </w:rPr>
            </w:pPr>
            <w:r>
              <w:rPr>
                <w:rFonts w:ascii="Garamond" w:hAnsi="Garamond" w:cs="Times New Roman"/>
                <w:color w:val="000000" w:themeColor="text1"/>
              </w:rPr>
              <w:t>68</w:t>
            </w:r>
          </w:p>
        </w:tc>
        <w:tc>
          <w:tcPr>
            <w:tcW w:w="1620" w:type="dxa"/>
          </w:tcPr>
          <w:p w:rsidR="009B775B" w:rsidRDefault="009B775B" w:rsidP="00A6540D">
            <w:pPr>
              <w:spacing w:after="100" w:afterAutospacing="1"/>
              <w:jc w:val="center"/>
              <w:rPr>
                <w:rFonts w:ascii="Garamond" w:hAnsi="Garamond" w:cs="Times New Roman"/>
                <w:color w:val="000000" w:themeColor="text1"/>
              </w:rPr>
            </w:pPr>
            <w:r>
              <w:rPr>
                <w:rFonts w:ascii="Garamond" w:hAnsi="Garamond" w:cs="Times New Roman"/>
                <w:color w:val="000000" w:themeColor="text1"/>
              </w:rPr>
              <w:t>44/68 = 65%</w:t>
            </w:r>
          </w:p>
        </w:tc>
        <w:tc>
          <w:tcPr>
            <w:tcW w:w="1901" w:type="dxa"/>
          </w:tcPr>
          <w:p w:rsidR="009B775B" w:rsidRDefault="009B775B" w:rsidP="00A6540D">
            <w:pPr>
              <w:spacing w:after="100" w:afterAutospacing="1"/>
              <w:jc w:val="center"/>
              <w:rPr>
                <w:rFonts w:ascii="Garamond" w:hAnsi="Garamond" w:cs="Times New Roman"/>
                <w:b/>
                <w:color w:val="000000" w:themeColor="text1"/>
              </w:rPr>
            </w:pPr>
            <w:r>
              <w:rPr>
                <w:rFonts w:ascii="Garamond" w:hAnsi="Garamond" w:cs="Times New Roman"/>
                <w:color w:val="000000" w:themeColor="text1"/>
              </w:rPr>
              <w:t>44/799 = 5.5%</w:t>
            </w:r>
          </w:p>
        </w:tc>
      </w:tr>
      <w:tr w:rsidR="009B775B" w:rsidTr="00A6540D">
        <w:tc>
          <w:tcPr>
            <w:tcW w:w="475" w:type="dxa"/>
          </w:tcPr>
          <w:p w:rsidR="009B775B" w:rsidRDefault="009B775B" w:rsidP="00A6540D">
            <w:pPr>
              <w:spacing w:after="100" w:afterAutospacing="1"/>
              <w:rPr>
                <w:rFonts w:ascii="Garamond" w:hAnsi="Garamond" w:cs="Times New Roman"/>
                <w:color w:val="000000" w:themeColor="text1"/>
              </w:rPr>
            </w:pPr>
            <w:r>
              <w:rPr>
                <w:rFonts w:ascii="Garamond" w:hAnsi="Garamond" w:cs="Times New Roman"/>
                <w:color w:val="000000" w:themeColor="text1"/>
              </w:rPr>
              <w:t>(3)</w:t>
            </w:r>
          </w:p>
        </w:tc>
        <w:tc>
          <w:tcPr>
            <w:tcW w:w="1775" w:type="dxa"/>
          </w:tcPr>
          <w:p w:rsidR="009B775B" w:rsidRPr="00B90297" w:rsidRDefault="009B775B" w:rsidP="00A6540D">
            <w:pPr>
              <w:spacing w:after="100" w:afterAutospacing="1"/>
              <w:rPr>
                <w:rFonts w:ascii="Garamond" w:hAnsi="Garamond" w:cs="Times New Roman"/>
                <w:color w:val="000000" w:themeColor="text1"/>
              </w:rPr>
            </w:pPr>
            <w:r>
              <w:rPr>
                <w:rFonts w:ascii="Garamond" w:hAnsi="Garamond" w:cs="Times New Roman"/>
                <w:color w:val="000000" w:themeColor="text1"/>
              </w:rPr>
              <w:t>457 – 547 Days (18 mos.)</w:t>
            </w:r>
          </w:p>
        </w:tc>
        <w:tc>
          <w:tcPr>
            <w:tcW w:w="1465" w:type="dxa"/>
          </w:tcPr>
          <w:p w:rsidR="009B775B" w:rsidRPr="00B90297" w:rsidRDefault="009B775B" w:rsidP="00A6540D">
            <w:pPr>
              <w:spacing w:after="100" w:afterAutospacing="1"/>
              <w:jc w:val="center"/>
              <w:rPr>
                <w:rFonts w:ascii="Garamond" w:hAnsi="Garamond" w:cs="Times New Roman"/>
                <w:color w:val="000000" w:themeColor="text1"/>
              </w:rPr>
            </w:pPr>
            <w:r>
              <w:rPr>
                <w:rFonts w:ascii="Garamond" w:hAnsi="Garamond" w:cs="Times New Roman"/>
                <w:color w:val="000000" w:themeColor="text1"/>
              </w:rPr>
              <w:t>26</w:t>
            </w:r>
          </w:p>
        </w:tc>
        <w:tc>
          <w:tcPr>
            <w:tcW w:w="1325" w:type="dxa"/>
          </w:tcPr>
          <w:p w:rsidR="009B775B" w:rsidRPr="00B90297" w:rsidRDefault="009B775B" w:rsidP="00A6540D">
            <w:pPr>
              <w:spacing w:after="100" w:afterAutospacing="1"/>
              <w:jc w:val="center"/>
              <w:rPr>
                <w:rFonts w:ascii="Garamond" w:hAnsi="Garamond" w:cs="Times New Roman"/>
                <w:color w:val="000000" w:themeColor="text1"/>
              </w:rPr>
            </w:pPr>
            <w:r>
              <w:rPr>
                <w:rFonts w:ascii="Garamond" w:hAnsi="Garamond" w:cs="Times New Roman"/>
                <w:color w:val="000000" w:themeColor="text1"/>
              </w:rPr>
              <w:t>63</w:t>
            </w:r>
          </w:p>
        </w:tc>
        <w:tc>
          <w:tcPr>
            <w:tcW w:w="1620" w:type="dxa"/>
          </w:tcPr>
          <w:p w:rsidR="009B775B" w:rsidRDefault="009B775B" w:rsidP="00A6540D">
            <w:pPr>
              <w:spacing w:after="100" w:afterAutospacing="1"/>
              <w:jc w:val="center"/>
              <w:rPr>
                <w:rFonts w:ascii="Garamond" w:hAnsi="Garamond" w:cs="Times New Roman"/>
                <w:color w:val="000000" w:themeColor="text1"/>
              </w:rPr>
            </w:pPr>
            <w:r>
              <w:rPr>
                <w:rFonts w:ascii="Garamond" w:hAnsi="Garamond" w:cs="Times New Roman"/>
                <w:color w:val="000000" w:themeColor="text1"/>
              </w:rPr>
              <w:t>26/63 = 41%</w:t>
            </w:r>
          </w:p>
        </w:tc>
        <w:tc>
          <w:tcPr>
            <w:tcW w:w="1901" w:type="dxa"/>
          </w:tcPr>
          <w:p w:rsidR="009B775B" w:rsidRDefault="009B775B" w:rsidP="00A6540D">
            <w:pPr>
              <w:spacing w:after="100" w:afterAutospacing="1"/>
              <w:jc w:val="center"/>
              <w:rPr>
                <w:rFonts w:ascii="Garamond" w:hAnsi="Garamond" w:cs="Times New Roman"/>
                <w:color w:val="000000" w:themeColor="text1"/>
              </w:rPr>
            </w:pPr>
            <w:r>
              <w:rPr>
                <w:rFonts w:ascii="Garamond" w:hAnsi="Garamond" w:cs="Times New Roman"/>
                <w:color w:val="000000" w:themeColor="text1"/>
              </w:rPr>
              <w:t>26/799 = 3.3%</w:t>
            </w:r>
          </w:p>
        </w:tc>
      </w:tr>
      <w:tr w:rsidR="009B775B" w:rsidTr="00A6540D">
        <w:tc>
          <w:tcPr>
            <w:tcW w:w="475" w:type="dxa"/>
          </w:tcPr>
          <w:p w:rsidR="009B775B" w:rsidRDefault="009B775B" w:rsidP="00A6540D">
            <w:pPr>
              <w:spacing w:after="100" w:afterAutospacing="1"/>
              <w:rPr>
                <w:rFonts w:ascii="Garamond" w:hAnsi="Garamond" w:cs="Times New Roman"/>
                <w:color w:val="000000" w:themeColor="text1"/>
              </w:rPr>
            </w:pPr>
            <w:r>
              <w:rPr>
                <w:rFonts w:ascii="Garamond" w:hAnsi="Garamond" w:cs="Times New Roman"/>
                <w:color w:val="000000" w:themeColor="text1"/>
              </w:rPr>
              <w:t>(4)</w:t>
            </w:r>
          </w:p>
        </w:tc>
        <w:tc>
          <w:tcPr>
            <w:tcW w:w="1775" w:type="dxa"/>
          </w:tcPr>
          <w:p w:rsidR="009B775B" w:rsidRPr="00B90297" w:rsidRDefault="009B775B" w:rsidP="00A6540D">
            <w:pPr>
              <w:spacing w:after="100" w:afterAutospacing="1"/>
              <w:rPr>
                <w:rFonts w:ascii="Garamond" w:hAnsi="Garamond" w:cs="Times New Roman"/>
                <w:color w:val="000000" w:themeColor="text1"/>
              </w:rPr>
            </w:pPr>
            <w:r>
              <w:rPr>
                <w:rFonts w:ascii="Garamond" w:hAnsi="Garamond" w:cs="Times New Roman"/>
                <w:color w:val="000000" w:themeColor="text1"/>
              </w:rPr>
              <w:t>548 Days to 2 Years</w:t>
            </w:r>
          </w:p>
        </w:tc>
        <w:tc>
          <w:tcPr>
            <w:tcW w:w="1465" w:type="dxa"/>
          </w:tcPr>
          <w:p w:rsidR="009B775B" w:rsidRPr="00B90297" w:rsidRDefault="009B775B" w:rsidP="00A6540D">
            <w:pPr>
              <w:spacing w:after="100" w:afterAutospacing="1"/>
              <w:jc w:val="center"/>
              <w:rPr>
                <w:rFonts w:ascii="Garamond" w:hAnsi="Garamond" w:cs="Times New Roman"/>
                <w:color w:val="000000" w:themeColor="text1"/>
              </w:rPr>
            </w:pPr>
            <w:r>
              <w:rPr>
                <w:rFonts w:ascii="Garamond" w:hAnsi="Garamond" w:cs="Times New Roman"/>
                <w:color w:val="000000" w:themeColor="text1"/>
              </w:rPr>
              <w:t>42</w:t>
            </w:r>
          </w:p>
        </w:tc>
        <w:tc>
          <w:tcPr>
            <w:tcW w:w="1325" w:type="dxa"/>
          </w:tcPr>
          <w:p w:rsidR="009B775B" w:rsidRPr="00B90297" w:rsidRDefault="009B775B" w:rsidP="00A6540D">
            <w:pPr>
              <w:spacing w:after="100" w:afterAutospacing="1"/>
              <w:jc w:val="center"/>
              <w:rPr>
                <w:rFonts w:ascii="Garamond" w:hAnsi="Garamond" w:cs="Times New Roman"/>
                <w:color w:val="000000" w:themeColor="text1"/>
              </w:rPr>
            </w:pPr>
            <w:r>
              <w:rPr>
                <w:rFonts w:ascii="Garamond" w:hAnsi="Garamond" w:cs="Times New Roman"/>
                <w:color w:val="000000" w:themeColor="text1"/>
              </w:rPr>
              <w:t>75</w:t>
            </w:r>
          </w:p>
        </w:tc>
        <w:tc>
          <w:tcPr>
            <w:tcW w:w="1620" w:type="dxa"/>
          </w:tcPr>
          <w:p w:rsidR="009B775B" w:rsidRDefault="009B775B" w:rsidP="00A6540D">
            <w:pPr>
              <w:spacing w:after="100" w:afterAutospacing="1"/>
              <w:jc w:val="center"/>
              <w:rPr>
                <w:rFonts w:ascii="Garamond" w:hAnsi="Garamond" w:cs="Times New Roman"/>
                <w:color w:val="000000" w:themeColor="text1"/>
              </w:rPr>
            </w:pPr>
            <w:r>
              <w:rPr>
                <w:rFonts w:ascii="Garamond" w:hAnsi="Garamond" w:cs="Times New Roman"/>
                <w:color w:val="000000" w:themeColor="text1"/>
              </w:rPr>
              <w:t>42/75 = 56%</w:t>
            </w:r>
          </w:p>
        </w:tc>
        <w:tc>
          <w:tcPr>
            <w:tcW w:w="1901" w:type="dxa"/>
          </w:tcPr>
          <w:p w:rsidR="009B775B" w:rsidRDefault="009B775B" w:rsidP="00A6540D">
            <w:pPr>
              <w:spacing w:after="100" w:afterAutospacing="1"/>
              <w:jc w:val="center"/>
              <w:rPr>
                <w:rFonts w:ascii="Garamond" w:hAnsi="Garamond" w:cs="Times New Roman"/>
                <w:color w:val="000000" w:themeColor="text1"/>
              </w:rPr>
            </w:pPr>
            <w:r>
              <w:rPr>
                <w:rFonts w:ascii="Garamond" w:hAnsi="Garamond" w:cs="Times New Roman"/>
                <w:color w:val="000000" w:themeColor="text1"/>
              </w:rPr>
              <w:t>42/799 = 5.3%</w:t>
            </w:r>
          </w:p>
        </w:tc>
      </w:tr>
      <w:tr w:rsidR="009B775B" w:rsidTr="00A6540D">
        <w:tc>
          <w:tcPr>
            <w:tcW w:w="475" w:type="dxa"/>
            <w:tcBorders>
              <w:bottom w:val="single" w:sz="18" w:space="0" w:color="auto"/>
            </w:tcBorders>
          </w:tcPr>
          <w:p w:rsidR="009B775B" w:rsidRDefault="009B775B" w:rsidP="00A6540D">
            <w:pPr>
              <w:spacing w:after="100" w:afterAutospacing="1"/>
              <w:rPr>
                <w:rFonts w:ascii="Garamond" w:hAnsi="Garamond" w:cs="Times New Roman"/>
                <w:color w:val="000000" w:themeColor="text1"/>
              </w:rPr>
            </w:pPr>
            <w:r>
              <w:rPr>
                <w:rFonts w:ascii="Garamond" w:hAnsi="Garamond" w:cs="Times New Roman"/>
                <w:color w:val="000000" w:themeColor="text1"/>
              </w:rPr>
              <w:t>(5)</w:t>
            </w:r>
          </w:p>
        </w:tc>
        <w:tc>
          <w:tcPr>
            <w:tcW w:w="1775" w:type="dxa"/>
            <w:tcBorders>
              <w:bottom w:val="single" w:sz="18" w:space="0" w:color="auto"/>
            </w:tcBorders>
          </w:tcPr>
          <w:p w:rsidR="009B775B" w:rsidRDefault="009B775B" w:rsidP="00A6540D">
            <w:pPr>
              <w:spacing w:after="100" w:afterAutospacing="1"/>
              <w:rPr>
                <w:rFonts w:ascii="Garamond" w:hAnsi="Garamond" w:cs="Times New Roman"/>
                <w:color w:val="000000" w:themeColor="text1"/>
              </w:rPr>
            </w:pPr>
            <w:r>
              <w:rPr>
                <w:rFonts w:ascii="Garamond" w:hAnsi="Garamond" w:cs="Times New Roman"/>
                <w:color w:val="000000" w:themeColor="text1"/>
              </w:rPr>
              <w:t>More than 2 Years</w:t>
            </w:r>
          </w:p>
        </w:tc>
        <w:tc>
          <w:tcPr>
            <w:tcW w:w="1465" w:type="dxa"/>
            <w:tcBorders>
              <w:bottom w:val="single" w:sz="18" w:space="0" w:color="auto"/>
            </w:tcBorders>
          </w:tcPr>
          <w:p w:rsidR="009B775B" w:rsidRDefault="009B775B" w:rsidP="00A6540D">
            <w:pPr>
              <w:spacing w:after="100" w:afterAutospacing="1"/>
              <w:jc w:val="center"/>
              <w:rPr>
                <w:rFonts w:ascii="Garamond" w:hAnsi="Garamond" w:cs="Times New Roman"/>
                <w:color w:val="000000" w:themeColor="text1"/>
              </w:rPr>
            </w:pPr>
            <w:r>
              <w:rPr>
                <w:rFonts w:ascii="Garamond" w:hAnsi="Garamond" w:cs="Times New Roman"/>
                <w:color w:val="000000" w:themeColor="text1"/>
              </w:rPr>
              <w:t>36</w:t>
            </w:r>
          </w:p>
        </w:tc>
        <w:tc>
          <w:tcPr>
            <w:tcW w:w="1325" w:type="dxa"/>
            <w:tcBorders>
              <w:bottom w:val="single" w:sz="18" w:space="0" w:color="auto"/>
            </w:tcBorders>
          </w:tcPr>
          <w:p w:rsidR="009B775B" w:rsidRDefault="009B775B" w:rsidP="003D2739">
            <w:pPr>
              <w:spacing w:after="100" w:afterAutospacing="1"/>
              <w:jc w:val="center"/>
              <w:rPr>
                <w:rFonts w:ascii="Garamond" w:hAnsi="Garamond" w:cs="Times New Roman"/>
                <w:color w:val="000000" w:themeColor="text1"/>
              </w:rPr>
            </w:pPr>
            <w:r>
              <w:rPr>
                <w:rFonts w:ascii="Garamond" w:hAnsi="Garamond" w:cs="Times New Roman"/>
                <w:color w:val="000000" w:themeColor="text1"/>
              </w:rPr>
              <w:t>8</w:t>
            </w:r>
            <w:r w:rsidR="003D2739">
              <w:rPr>
                <w:rFonts w:ascii="Garamond" w:hAnsi="Garamond" w:cs="Times New Roman"/>
                <w:color w:val="000000" w:themeColor="text1"/>
              </w:rPr>
              <w:t>6</w:t>
            </w:r>
          </w:p>
        </w:tc>
        <w:tc>
          <w:tcPr>
            <w:tcW w:w="1620" w:type="dxa"/>
            <w:tcBorders>
              <w:bottom w:val="single" w:sz="18" w:space="0" w:color="auto"/>
            </w:tcBorders>
          </w:tcPr>
          <w:p w:rsidR="009B775B" w:rsidRDefault="009B775B" w:rsidP="003D2739">
            <w:pPr>
              <w:spacing w:after="100" w:afterAutospacing="1"/>
              <w:jc w:val="center"/>
              <w:rPr>
                <w:rFonts w:ascii="Garamond" w:hAnsi="Garamond" w:cs="Times New Roman"/>
                <w:color w:val="000000" w:themeColor="text1"/>
              </w:rPr>
            </w:pPr>
            <w:r>
              <w:rPr>
                <w:rFonts w:ascii="Garamond" w:hAnsi="Garamond" w:cs="Times New Roman"/>
                <w:color w:val="000000" w:themeColor="text1"/>
              </w:rPr>
              <w:t>36/8</w:t>
            </w:r>
            <w:r w:rsidR="003D2739">
              <w:rPr>
                <w:rFonts w:ascii="Garamond" w:hAnsi="Garamond" w:cs="Times New Roman"/>
                <w:color w:val="000000" w:themeColor="text1"/>
              </w:rPr>
              <w:t>6</w:t>
            </w:r>
            <w:r>
              <w:rPr>
                <w:rFonts w:ascii="Garamond" w:hAnsi="Garamond" w:cs="Times New Roman"/>
                <w:color w:val="000000" w:themeColor="text1"/>
              </w:rPr>
              <w:t xml:space="preserve"> = 42%</w:t>
            </w:r>
          </w:p>
        </w:tc>
        <w:tc>
          <w:tcPr>
            <w:tcW w:w="1901" w:type="dxa"/>
            <w:tcBorders>
              <w:bottom w:val="single" w:sz="18" w:space="0" w:color="auto"/>
            </w:tcBorders>
          </w:tcPr>
          <w:p w:rsidR="009B775B" w:rsidRDefault="009B775B" w:rsidP="00A6540D">
            <w:pPr>
              <w:spacing w:after="100" w:afterAutospacing="1"/>
              <w:jc w:val="center"/>
              <w:rPr>
                <w:rFonts w:ascii="Garamond" w:hAnsi="Garamond" w:cs="Times New Roman"/>
                <w:color w:val="000000" w:themeColor="text1"/>
              </w:rPr>
            </w:pPr>
            <w:r>
              <w:rPr>
                <w:rFonts w:ascii="Garamond" w:hAnsi="Garamond" w:cs="Times New Roman"/>
                <w:color w:val="000000" w:themeColor="text1"/>
              </w:rPr>
              <w:t>36/799 = 4.5%</w:t>
            </w:r>
          </w:p>
        </w:tc>
      </w:tr>
      <w:tr w:rsidR="009B775B" w:rsidTr="00A6540D">
        <w:tc>
          <w:tcPr>
            <w:tcW w:w="475" w:type="dxa"/>
            <w:tcBorders>
              <w:top w:val="single" w:sz="18" w:space="0" w:color="auto"/>
            </w:tcBorders>
          </w:tcPr>
          <w:p w:rsidR="009B775B" w:rsidRDefault="009B775B" w:rsidP="00A6540D">
            <w:pPr>
              <w:spacing w:after="100" w:afterAutospacing="1"/>
              <w:rPr>
                <w:rFonts w:ascii="Garamond" w:hAnsi="Garamond" w:cs="Times New Roman"/>
                <w:b/>
                <w:color w:val="000000" w:themeColor="text1"/>
              </w:rPr>
            </w:pPr>
            <w:r>
              <w:rPr>
                <w:rFonts w:ascii="Garamond" w:hAnsi="Garamond" w:cs="Times New Roman"/>
                <w:b/>
                <w:color w:val="000000" w:themeColor="text1"/>
              </w:rPr>
              <w:t>(6)</w:t>
            </w:r>
          </w:p>
        </w:tc>
        <w:tc>
          <w:tcPr>
            <w:tcW w:w="1775" w:type="dxa"/>
            <w:tcBorders>
              <w:top w:val="single" w:sz="18" w:space="0" w:color="auto"/>
            </w:tcBorders>
          </w:tcPr>
          <w:p w:rsidR="009B775B" w:rsidRPr="00B90297" w:rsidRDefault="009B775B" w:rsidP="00A6540D">
            <w:pPr>
              <w:spacing w:after="100" w:afterAutospacing="1"/>
              <w:rPr>
                <w:rFonts w:ascii="Garamond" w:hAnsi="Garamond" w:cs="Times New Roman"/>
                <w:color w:val="000000" w:themeColor="text1"/>
              </w:rPr>
            </w:pPr>
            <w:r>
              <w:rPr>
                <w:rFonts w:ascii="Garamond" w:hAnsi="Garamond" w:cs="Times New Roman"/>
                <w:b/>
                <w:color w:val="000000" w:themeColor="text1"/>
              </w:rPr>
              <w:t>Totals: 346 Days &amp; Beyond</w:t>
            </w:r>
          </w:p>
        </w:tc>
        <w:tc>
          <w:tcPr>
            <w:tcW w:w="1465" w:type="dxa"/>
            <w:tcBorders>
              <w:top w:val="single" w:sz="18" w:space="0" w:color="auto"/>
            </w:tcBorders>
          </w:tcPr>
          <w:p w:rsidR="009B775B" w:rsidRPr="00A808A1" w:rsidRDefault="009B775B" w:rsidP="00A6540D">
            <w:pPr>
              <w:spacing w:after="100" w:afterAutospacing="1"/>
              <w:jc w:val="center"/>
              <w:rPr>
                <w:rFonts w:ascii="Garamond" w:hAnsi="Garamond" w:cs="Times New Roman"/>
                <w:b/>
                <w:color w:val="000000" w:themeColor="text1"/>
              </w:rPr>
            </w:pPr>
            <w:r>
              <w:rPr>
                <w:rFonts w:ascii="Garamond" w:hAnsi="Garamond" w:cs="Times New Roman"/>
                <w:b/>
                <w:color w:val="000000" w:themeColor="text1"/>
              </w:rPr>
              <w:t>162</w:t>
            </w:r>
          </w:p>
        </w:tc>
        <w:tc>
          <w:tcPr>
            <w:tcW w:w="1325" w:type="dxa"/>
            <w:tcBorders>
              <w:top w:val="single" w:sz="18" w:space="0" w:color="auto"/>
            </w:tcBorders>
          </w:tcPr>
          <w:p w:rsidR="009B775B" w:rsidRPr="00A808A1" w:rsidRDefault="009B775B" w:rsidP="00A6540D">
            <w:pPr>
              <w:spacing w:after="100" w:afterAutospacing="1"/>
              <w:jc w:val="center"/>
              <w:rPr>
                <w:rFonts w:ascii="Garamond" w:hAnsi="Garamond" w:cs="Times New Roman"/>
                <w:b/>
                <w:color w:val="000000" w:themeColor="text1"/>
              </w:rPr>
            </w:pPr>
            <w:r>
              <w:rPr>
                <w:rFonts w:ascii="Garamond" w:hAnsi="Garamond" w:cs="Times New Roman"/>
                <w:b/>
                <w:color w:val="000000" w:themeColor="text1"/>
              </w:rPr>
              <w:t>316</w:t>
            </w:r>
          </w:p>
        </w:tc>
        <w:tc>
          <w:tcPr>
            <w:tcW w:w="1620" w:type="dxa"/>
            <w:tcBorders>
              <w:top w:val="single" w:sz="18" w:space="0" w:color="auto"/>
            </w:tcBorders>
          </w:tcPr>
          <w:p w:rsidR="009B775B" w:rsidRDefault="009B775B" w:rsidP="00A6540D">
            <w:pPr>
              <w:spacing w:after="100" w:afterAutospacing="1"/>
              <w:jc w:val="center"/>
              <w:rPr>
                <w:rFonts w:ascii="Garamond" w:hAnsi="Garamond" w:cs="Times New Roman"/>
                <w:b/>
                <w:color w:val="000000" w:themeColor="text1"/>
              </w:rPr>
            </w:pPr>
            <w:r>
              <w:rPr>
                <w:rFonts w:ascii="Garamond" w:hAnsi="Garamond" w:cs="Times New Roman"/>
                <w:b/>
                <w:color w:val="000000" w:themeColor="text1"/>
              </w:rPr>
              <w:t>162/316 = 51%</w:t>
            </w:r>
          </w:p>
        </w:tc>
        <w:tc>
          <w:tcPr>
            <w:tcW w:w="1901" w:type="dxa"/>
            <w:tcBorders>
              <w:top w:val="single" w:sz="18" w:space="0" w:color="auto"/>
            </w:tcBorders>
          </w:tcPr>
          <w:p w:rsidR="009B775B" w:rsidRPr="00A808A1" w:rsidRDefault="009B775B" w:rsidP="00A6540D">
            <w:pPr>
              <w:spacing w:after="100" w:afterAutospacing="1"/>
              <w:jc w:val="center"/>
              <w:rPr>
                <w:rFonts w:ascii="Garamond" w:hAnsi="Garamond" w:cs="Times New Roman"/>
                <w:b/>
                <w:color w:val="000000" w:themeColor="text1"/>
              </w:rPr>
            </w:pPr>
            <w:r>
              <w:rPr>
                <w:rFonts w:ascii="Garamond" w:hAnsi="Garamond" w:cs="Times New Roman"/>
                <w:b/>
                <w:color w:val="000000" w:themeColor="text1"/>
              </w:rPr>
              <w:t>162/799 = 20.3</w:t>
            </w:r>
            <w:r w:rsidRPr="00A808A1">
              <w:rPr>
                <w:rFonts w:ascii="Garamond" w:hAnsi="Garamond" w:cs="Times New Roman"/>
                <w:b/>
                <w:color w:val="000000" w:themeColor="text1"/>
              </w:rPr>
              <w:t>%</w:t>
            </w:r>
          </w:p>
        </w:tc>
      </w:tr>
      <w:tr w:rsidR="009B775B" w:rsidTr="00A6540D">
        <w:tc>
          <w:tcPr>
            <w:tcW w:w="475" w:type="dxa"/>
          </w:tcPr>
          <w:p w:rsidR="009B775B" w:rsidRDefault="009B775B" w:rsidP="00A6540D">
            <w:pPr>
              <w:spacing w:after="100" w:afterAutospacing="1"/>
              <w:rPr>
                <w:rFonts w:ascii="Garamond" w:hAnsi="Garamond" w:cs="Times New Roman"/>
                <w:b/>
                <w:color w:val="000000" w:themeColor="text1"/>
              </w:rPr>
            </w:pPr>
            <w:r>
              <w:rPr>
                <w:rFonts w:ascii="Garamond" w:hAnsi="Garamond" w:cs="Times New Roman"/>
                <w:b/>
                <w:color w:val="000000" w:themeColor="text1"/>
              </w:rPr>
              <w:t>(7)</w:t>
            </w:r>
          </w:p>
        </w:tc>
        <w:tc>
          <w:tcPr>
            <w:tcW w:w="1775" w:type="dxa"/>
          </w:tcPr>
          <w:p w:rsidR="009B775B" w:rsidRDefault="009B775B" w:rsidP="00A6540D">
            <w:pPr>
              <w:spacing w:after="100" w:afterAutospacing="1"/>
              <w:rPr>
                <w:rFonts w:ascii="Garamond" w:hAnsi="Garamond" w:cs="Times New Roman"/>
                <w:b/>
                <w:color w:val="000000" w:themeColor="text1"/>
              </w:rPr>
            </w:pPr>
            <w:r>
              <w:rPr>
                <w:rFonts w:ascii="Garamond" w:hAnsi="Garamond" w:cs="Times New Roman"/>
                <w:b/>
                <w:color w:val="000000" w:themeColor="text1"/>
              </w:rPr>
              <w:t>Totals: 366 Days &amp; Beyond</w:t>
            </w:r>
          </w:p>
        </w:tc>
        <w:tc>
          <w:tcPr>
            <w:tcW w:w="1465" w:type="dxa"/>
          </w:tcPr>
          <w:p w:rsidR="009B775B" w:rsidRDefault="009B775B" w:rsidP="00A6540D">
            <w:pPr>
              <w:spacing w:after="100" w:afterAutospacing="1"/>
              <w:jc w:val="center"/>
              <w:rPr>
                <w:rFonts w:ascii="Garamond" w:hAnsi="Garamond" w:cs="Times New Roman"/>
                <w:b/>
                <w:color w:val="000000" w:themeColor="text1"/>
              </w:rPr>
            </w:pPr>
            <w:r>
              <w:rPr>
                <w:rFonts w:ascii="Garamond" w:hAnsi="Garamond" w:cs="Times New Roman"/>
                <w:b/>
                <w:color w:val="000000" w:themeColor="text1"/>
              </w:rPr>
              <w:t>148</w:t>
            </w:r>
          </w:p>
        </w:tc>
        <w:tc>
          <w:tcPr>
            <w:tcW w:w="1325" w:type="dxa"/>
          </w:tcPr>
          <w:p w:rsidR="009B775B" w:rsidRDefault="009B775B" w:rsidP="00A6540D">
            <w:pPr>
              <w:spacing w:after="100" w:afterAutospacing="1"/>
              <w:jc w:val="center"/>
              <w:rPr>
                <w:rFonts w:ascii="Garamond" w:hAnsi="Garamond" w:cs="Times New Roman"/>
                <w:b/>
                <w:color w:val="000000" w:themeColor="text1"/>
              </w:rPr>
            </w:pPr>
            <w:r>
              <w:rPr>
                <w:rFonts w:ascii="Garamond" w:hAnsi="Garamond" w:cs="Times New Roman"/>
                <w:b/>
                <w:color w:val="000000" w:themeColor="text1"/>
              </w:rPr>
              <w:t>292</w:t>
            </w:r>
          </w:p>
        </w:tc>
        <w:tc>
          <w:tcPr>
            <w:tcW w:w="1620" w:type="dxa"/>
          </w:tcPr>
          <w:p w:rsidR="009B775B" w:rsidRDefault="009B775B" w:rsidP="00A6540D">
            <w:pPr>
              <w:spacing w:after="100" w:afterAutospacing="1"/>
              <w:jc w:val="center"/>
              <w:rPr>
                <w:rFonts w:ascii="Garamond" w:hAnsi="Garamond" w:cs="Times New Roman"/>
                <w:b/>
                <w:color w:val="000000" w:themeColor="text1"/>
              </w:rPr>
            </w:pPr>
            <w:r>
              <w:rPr>
                <w:rFonts w:ascii="Garamond" w:hAnsi="Garamond" w:cs="Times New Roman"/>
                <w:b/>
                <w:color w:val="000000" w:themeColor="text1"/>
              </w:rPr>
              <w:t>148/292 = 51%</w:t>
            </w:r>
          </w:p>
        </w:tc>
        <w:tc>
          <w:tcPr>
            <w:tcW w:w="1901" w:type="dxa"/>
          </w:tcPr>
          <w:p w:rsidR="009B775B" w:rsidRDefault="009B775B" w:rsidP="00A6540D">
            <w:pPr>
              <w:spacing w:after="100" w:afterAutospacing="1"/>
              <w:jc w:val="center"/>
              <w:rPr>
                <w:rFonts w:ascii="Garamond" w:hAnsi="Garamond" w:cs="Times New Roman"/>
                <w:b/>
                <w:color w:val="000000" w:themeColor="text1"/>
              </w:rPr>
            </w:pPr>
            <w:r>
              <w:rPr>
                <w:rFonts w:ascii="Garamond" w:hAnsi="Garamond" w:cs="Times New Roman"/>
                <w:b/>
                <w:color w:val="000000" w:themeColor="text1"/>
              </w:rPr>
              <w:t>148/799 = 18.5%</w:t>
            </w:r>
          </w:p>
        </w:tc>
      </w:tr>
    </w:tbl>
    <w:p w:rsidR="009B775B" w:rsidRDefault="009B775B" w:rsidP="009B775B">
      <w:pPr>
        <w:pStyle w:val="ListParagraph"/>
        <w:rPr>
          <w:rFonts w:ascii="Garamond" w:hAnsi="Garamond" w:cs="Times New Roman"/>
          <w:color w:val="000000" w:themeColor="text1"/>
        </w:rPr>
      </w:pPr>
    </w:p>
    <w:p w:rsidR="009B775B" w:rsidRDefault="009B775B" w:rsidP="009B775B">
      <w:pPr>
        <w:rPr>
          <w:rFonts w:cs="Times New Roman"/>
          <w:color w:val="000000" w:themeColor="text1"/>
        </w:rPr>
      </w:pPr>
      <w:r>
        <w:rPr>
          <w:rFonts w:cs="Times New Roman"/>
          <w:color w:val="000000" w:themeColor="text1"/>
        </w:rPr>
        <w:t xml:space="preserve">Table III provides </w:t>
      </w:r>
      <w:r w:rsidR="007F1AC5">
        <w:rPr>
          <w:rFonts w:cs="Times New Roman"/>
          <w:color w:val="000000" w:themeColor="text1"/>
        </w:rPr>
        <w:t xml:space="preserve">both </w:t>
      </w:r>
      <w:r>
        <w:rPr>
          <w:rFonts w:cs="Times New Roman"/>
          <w:color w:val="000000" w:themeColor="text1"/>
        </w:rPr>
        <w:t>the number of small business cases a</w:t>
      </w:r>
      <w:r w:rsidR="007F1AC5">
        <w:rPr>
          <w:rFonts w:cs="Times New Roman"/>
          <w:color w:val="000000" w:themeColor="text1"/>
        </w:rPr>
        <w:t xml:space="preserve">nd </w:t>
      </w:r>
      <w:bookmarkStart w:id="0" w:name="_GoBack"/>
      <w:bookmarkEnd w:id="0"/>
      <w:r>
        <w:rPr>
          <w:rFonts w:cs="Times New Roman"/>
          <w:color w:val="000000" w:themeColor="text1"/>
        </w:rPr>
        <w:t xml:space="preserve">the total </w:t>
      </w:r>
      <w:r w:rsidR="00BB49E1">
        <w:rPr>
          <w:rFonts w:cs="Times New Roman"/>
          <w:color w:val="000000" w:themeColor="text1"/>
        </w:rPr>
        <w:t xml:space="preserve">number </w:t>
      </w:r>
      <w:r>
        <w:rPr>
          <w:rFonts w:cs="Times New Roman"/>
          <w:color w:val="000000" w:themeColor="text1"/>
        </w:rPr>
        <w:t>of cases remaining without disposition in chapter 11 for more than 345 days. (The 345 days is the combination of the 300-day plan-proposal and 45-day plan-confirmation periods established for small business debtors in BAPCPA.) The figures in Rows (1) through (5) are not cumulative; they represent the number of debtors reaching disposition within the particular time frame indicated.  Rows (6) &amp; (7) provide total</w:t>
      </w:r>
      <w:r w:rsidR="003D2739">
        <w:rPr>
          <w:rFonts w:cs="Times New Roman"/>
          <w:color w:val="000000" w:themeColor="text1"/>
        </w:rPr>
        <w:t xml:space="preserve"> number of cases reaching disposition on Day 346 and beyond</w:t>
      </w:r>
      <w:r>
        <w:rPr>
          <w:rFonts w:cs="Times New Roman"/>
          <w:color w:val="000000" w:themeColor="text1"/>
        </w:rPr>
        <w:t>.</w:t>
      </w:r>
    </w:p>
    <w:p w:rsidR="00576BC5" w:rsidRDefault="00576BC5" w:rsidP="009B775B">
      <w:pPr>
        <w:rPr>
          <w:rFonts w:cs="Times New Roman"/>
          <w:color w:val="000000" w:themeColor="text1"/>
        </w:rPr>
      </w:pPr>
      <w:r>
        <w:rPr>
          <w:rFonts w:cs="Times New Roman"/>
          <w:color w:val="000000" w:themeColor="text1"/>
        </w:rPr>
        <w:t>Table IV presents data from the Lawton Time Study, using the same simplified definition of a small business debtor but also taking account of groups of affiliated debtors, as provided for by §101(51D)(B) of the Code’s small business debtor</w:t>
      </w:r>
      <w:r w:rsidR="004C4078">
        <w:rPr>
          <w:rFonts w:cs="Times New Roman"/>
          <w:color w:val="000000" w:themeColor="text1"/>
        </w:rPr>
        <w:t xml:space="preserve"> definition. </w:t>
      </w:r>
      <w:r w:rsidR="004E6C78">
        <w:rPr>
          <w:rFonts w:cs="Times New Roman"/>
          <w:color w:val="000000" w:themeColor="text1"/>
        </w:rPr>
        <w:t xml:space="preserve">The change in number of small business debtors was small. </w:t>
      </w:r>
      <w:r w:rsidR="004C4078">
        <w:rPr>
          <w:rFonts w:cs="Times New Roman"/>
          <w:color w:val="000000" w:themeColor="text1"/>
        </w:rPr>
        <w:t xml:space="preserve">Adding liabilities of pending affiliated debtors to random sample debtors’ liabilities </w:t>
      </w:r>
      <w:r w:rsidR="004E6C78">
        <w:rPr>
          <w:rFonts w:cs="Times New Roman"/>
          <w:color w:val="000000" w:themeColor="text1"/>
        </w:rPr>
        <w:t xml:space="preserve">changed the status of </w:t>
      </w:r>
      <w:r w:rsidR="00C67E83">
        <w:rPr>
          <w:rFonts w:cs="Times New Roman"/>
          <w:color w:val="000000" w:themeColor="text1"/>
        </w:rPr>
        <w:t xml:space="preserve">12 debtors </w:t>
      </w:r>
      <w:r>
        <w:rPr>
          <w:rFonts w:cs="Times New Roman"/>
          <w:color w:val="000000" w:themeColor="text1"/>
        </w:rPr>
        <w:t xml:space="preserve">in the random sample </w:t>
      </w:r>
      <w:r w:rsidR="004E6C78">
        <w:rPr>
          <w:rFonts w:cs="Times New Roman"/>
          <w:color w:val="000000" w:themeColor="text1"/>
        </w:rPr>
        <w:t>from small to no</w:t>
      </w:r>
      <w:r w:rsidR="005E763C">
        <w:rPr>
          <w:rFonts w:cs="Times New Roman"/>
          <w:color w:val="000000" w:themeColor="text1"/>
        </w:rPr>
        <w:t>n</w:t>
      </w:r>
      <w:r w:rsidR="004E6C78">
        <w:rPr>
          <w:rFonts w:cs="Times New Roman"/>
          <w:color w:val="000000" w:themeColor="text1"/>
        </w:rPr>
        <w:t xml:space="preserve">-small business </w:t>
      </w:r>
      <w:r>
        <w:rPr>
          <w:rFonts w:cs="Times New Roman"/>
          <w:color w:val="000000" w:themeColor="text1"/>
        </w:rPr>
        <w:t xml:space="preserve">debtors. </w:t>
      </w:r>
    </w:p>
    <w:p w:rsidR="007359D5" w:rsidRDefault="007359D5" w:rsidP="007359D5">
      <w:pPr>
        <w:spacing w:after="0"/>
        <w:jc w:val="center"/>
        <w:rPr>
          <w:rFonts w:cs="Times New Roman"/>
          <w:b/>
          <w:smallCaps/>
          <w:color w:val="000000" w:themeColor="text1"/>
        </w:rPr>
      </w:pPr>
      <w:r>
        <w:rPr>
          <w:rFonts w:cs="Times New Roman"/>
          <w:b/>
          <w:smallCaps/>
          <w:color w:val="000000" w:themeColor="text1"/>
        </w:rPr>
        <w:lastRenderedPageBreak/>
        <w:t>Table IV: Small Business Debtors Including Groups of Affiliates</w:t>
      </w:r>
    </w:p>
    <w:p w:rsidR="007359D5" w:rsidRDefault="007359D5" w:rsidP="007359D5">
      <w:pPr>
        <w:spacing w:after="0"/>
        <w:jc w:val="center"/>
        <w:rPr>
          <w:rFonts w:cs="Times New Roman"/>
          <w:b/>
          <w:smallCaps/>
          <w:color w:val="000000" w:themeColor="text1"/>
        </w:rPr>
      </w:pPr>
      <w:r>
        <w:rPr>
          <w:rFonts w:cs="Times New Roman"/>
          <w:b/>
          <w:smallCaps/>
          <w:color w:val="000000" w:themeColor="text1"/>
        </w:rPr>
        <w:t>346 Days and Beyond</w:t>
      </w:r>
    </w:p>
    <w:p w:rsidR="007359D5" w:rsidRDefault="007359D5" w:rsidP="007359D5">
      <w:pPr>
        <w:spacing w:after="0"/>
        <w:jc w:val="center"/>
        <w:rPr>
          <w:rFonts w:cs="Times New Roman"/>
          <w:b/>
          <w:color w:val="000000" w:themeColor="text1"/>
          <w:vertAlign w:val="superscript"/>
        </w:rPr>
      </w:pPr>
    </w:p>
    <w:tbl>
      <w:tblPr>
        <w:tblStyle w:val="TableGrid"/>
        <w:tblW w:w="8561" w:type="dxa"/>
        <w:tblInd w:w="108" w:type="dxa"/>
        <w:tblLook w:val="04A0" w:firstRow="1" w:lastRow="0" w:firstColumn="1" w:lastColumn="0" w:noHBand="0" w:noVBand="1"/>
      </w:tblPr>
      <w:tblGrid>
        <w:gridCol w:w="475"/>
        <w:gridCol w:w="1775"/>
        <w:gridCol w:w="1465"/>
        <w:gridCol w:w="1325"/>
        <w:gridCol w:w="1620"/>
        <w:gridCol w:w="1901"/>
      </w:tblGrid>
      <w:tr w:rsidR="007359D5" w:rsidTr="00A6540D">
        <w:tc>
          <w:tcPr>
            <w:tcW w:w="475" w:type="dxa"/>
          </w:tcPr>
          <w:p w:rsidR="007359D5" w:rsidRDefault="007359D5" w:rsidP="00A6540D">
            <w:pPr>
              <w:spacing w:after="100" w:afterAutospacing="1"/>
              <w:jc w:val="center"/>
              <w:rPr>
                <w:rFonts w:ascii="Garamond" w:hAnsi="Garamond" w:cs="Times New Roman"/>
                <w:b/>
                <w:smallCaps/>
                <w:color w:val="000000" w:themeColor="text1"/>
              </w:rPr>
            </w:pPr>
          </w:p>
        </w:tc>
        <w:tc>
          <w:tcPr>
            <w:tcW w:w="1775" w:type="dxa"/>
          </w:tcPr>
          <w:p w:rsidR="007359D5" w:rsidRDefault="007359D5" w:rsidP="00A6540D">
            <w:pPr>
              <w:spacing w:after="100" w:afterAutospacing="1"/>
              <w:jc w:val="center"/>
              <w:rPr>
                <w:rFonts w:ascii="Garamond" w:hAnsi="Garamond" w:cs="Times New Roman"/>
                <w:b/>
                <w:smallCaps/>
                <w:color w:val="000000" w:themeColor="text1"/>
              </w:rPr>
            </w:pPr>
            <w:r>
              <w:rPr>
                <w:rFonts w:ascii="Garamond" w:hAnsi="Garamond" w:cs="Times New Roman"/>
                <w:b/>
                <w:smallCaps/>
                <w:color w:val="000000" w:themeColor="text1"/>
              </w:rPr>
              <w:t>A</w:t>
            </w:r>
          </w:p>
        </w:tc>
        <w:tc>
          <w:tcPr>
            <w:tcW w:w="1465" w:type="dxa"/>
          </w:tcPr>
          <w:p w:rsidR="007359D5" w:rsidRDefault="007359D5" w:rsidP="00A6540D">
            <w:pPr>
              <w:spacing w:after="100" w:afterAutospacing="1"/>
              <w:jc w:val="center"/>
              <w:rPr>
                <w:rFonts w:ascii="Garamond" w:hAnsi="Garamond" w:cs="Times New Roman"/>
                <w:b/>
                <w:color w:val="000000" w:themeColor="text1"/>
              </w:rPr>
            </w:pPr>
            <w:r>
              <w:rPr>
                <w:rFonts w:ascii="Garamond" w:hAnsi="Garamond" w:cs="Times New Roman"/>
                <w:b/>
                <w:color w:val="000000" w:themeColor="text1"/>
              </w:rPr>
              <w:t>B</w:t>
            </w:r>
          </w:p>
        </w:tc>
        <w:tc>
          <w:tcPr>
            <w:tcW w:w="1325" w:type="dxa"/>
          </w:tcPr>
          <w:p w:rsidR="007359D5" w:rsidRDefault="007359D5" w:rsidP="00A6540D">
            <w:pPr>
              <w:spacing w:after="100" w:afterAutospacing="1"/>
              <w:jc w:val="center"/>
              <w:rPr>
                <w:rFonts w:ascii="Garamond" w:hAnsi="Garamond" w:cs="Times New Roman"/>
                <w:b/>
                <w:color w:val="000000" w:themeColor="text1"/>
              </w:rPr>
            </w:pPr>
            <w:r>
              <w:rPr>
                <w:rFonts w:ascii="Garamond" w:hAnsi="Garamond" w:cs="Times New Roman"/>
                <w:b/>
                <w:color w:val="000000" w:themeColor="text1"/>
              </w:rPr>
              <w:t>C</w:t>
            </w:r>
          </w:p>
        </w:tc>
        <w:tc>
          <w:tcPr>
            <w:tcW w:w="1620" w:type="dxa"/>
          </w:tcPr>
          <w:p w:rsidR="007359D5" w:rsidRDefault="007359D5" w:rsidP="00A6540D">
            <w:pPr>
              <w:spacing w:after="100" w:afterAutospacing="1"/>
              <w:jc w:val="center"/>
              <w:rPr>
                <w:rFonts w:ascii="Garamond" w:hAnsi="Garamond" w:cs="Times New Roman"/>
                <w:b/>
                <w:color w:val="000000" w:themeColor="text1"/>
              </w:rPr>
            </w:pPr>
            <w:r>
              <w:rPr>
                <w:rFonts w:ascii="Garamond" w:hAnsi="Garamond" w:cs="Times New Roman"/>
                <w:b/>
                <w:color w:val="000000" w:themeColor="text1"/>
              </w:rPr>
              <w:t>D</w:t>
            </w:r>
          </w:p>
        </w:tc>
        <w:tc>
          <w:tcPr>
            <w:tcW w:w="1901" w:type="dxa"/>
          </w:tcPr>
          <w:p w:rsidR="007359D5" w:rsidRDefault="007359D5" w:rsidP="00A6540D">
            <w:pPr>
              <w:spacing w:after="100" w:afterAutospacing="1"/>
              <w:jc w:val="center"/>
              <w:rPr>
                <w:rFonts w:ascii="Garamond" w:hAnsi="Garamond" w:cs="Times New Roman"/>
                <w:b/>
                <w:color w:val="000000" w:themeColor="text1"/>
              </w:rPr>
            </w:pPr>
            <w:r>
              <w:rPr>
                <w:rFonts w:ascii="Garamond" w:hAnsi="Garamond" w:cs="Times New Roman"/>
                <w:b/>
                <w:color w:val="000000" w:themeColor="text1"/>
              </w:rPr>
              <w:t>E</w:t>
            </w:r>
          </w:p>
        </w:tc>
      </w:tr>
      <w:tr w:rsidR="007359D5" w:rsidTr="00A6540D">
        <w:tc>
          <w:tcPr>
            <w:tcW w:w="475" w:type="dxa"/>
          </w:tcPr>
          <w:p w:rsidR="007359D5" w:rsidRDefault="007359D5" w:rsidP="00A6540D">
            <w:pPr>
              <w:spacing w:after="100" w:afterAutospacing="1"/>
              <w:rPr>
                <w:rFonts w:ascii="Garamond" w:hAnsi="Garamond" w:cs="Times New Roman"/>
                <w:b/>
                <w:smallCaps/>
                <w:color w:val="000000" w:themeColor="text1"/>
              </w:rPr>
            </w:pPr>
          </w:p>
        </w:tc>
        <w:tc>
          <w:tcPr>
            <w:tcW w:w="1775" w:type="dxa"/>
          </w:tcPr>
          <w:p w:rsidR="007359D5" w:rsidRPr="00B90297" w:rsidRDefault="007359D5" w:rsidP="00A6540D">
            <w:pPr>
              <w:spacing w:after="100" w:afterAutospacing="1"/>
              <w:rPr>
                <w:rFonts w:ascii="Garamond" w:hAnsi="Garamond" w:cs="Times New Roman"/>
                <w:b/>
                <w:color w:val="000000" w:themeColor="text1"/>
                <w:sz w:val="24"/>
                <w:szCs w:val="24"/>
                <w:vertAlign w:val="superscript"/>
              </w:rPr>
            </w:pPr>
            <w:r>
              <w:rPr>
                <w:rFonts w:ascii="Garamond" w:hAnsi="Garamond" w:cs="Times New Roman"/>
                <w:b/>
                <w:smallCaps/>
                <w:color w:val="000000" w:themeColor="text1"/>
              </w:rPr>
              <w:t>T</w:t>
            </w:r>
            <w:r>
              <w:rPr>
                <w:rFonts w:ascii="Garamond" w:hAnsi="Garamond" w:cs="Times New Roman"/>
                <w:b/>
                <w:color w:val="000000" w:themeColor="text1"/>
              </w:rPr>
              <w:t>ime to Disposition</w:t>
            </w:r>
          </w:p>
        </w:tc>
        <w:tc>
          <w:tcPr>
            <w:tcW w:w="1465" w:type="dxa"/>
          </w:tcPr>
          <w:p w:rsidR="007359D5" w:rsidRDefault="007359D5" w:rsidP="00A6540D">
            <w:pPr>
              <w:spacing w:after="100" w:afterAutospacing="1"/>
              <w:jc w:val="center"/>
              <w:rPr>
                <w:rFonts w:ascii="Garamond" w:hAnsi="Garamond" w:cs="Times New Roman"/>
                <w:b/>
                <w:color w:val="000000" w:themeColor="text1"/>
                <w:vertAlign w:val="superscript"/>
              </w:rPr>
            </w:pPr>
            <w:r>
              <w:rPr>
                <w:rFonts w:ascii="Garamond" w:hAnsi="Garamond" w:cs="Times New Roman"/>
                <w:b/>
                <w:color w:val="000000" w:themeColor="text1"/>
              </w:rPr>
              <w:t>Small Business (SB) Cases reaching disposition</w:t>
            </w:r>
          </w:p>
        </w:tc>
        <w:tc>
          <w:tcPr>
            <w:tcW w:w="1325" w:type="dxa"/>
          </w:tcPr>
          <w:p w:rsidR="007359D5" w:rsidRDefault="007359D5" w:rsidP="00A6540D">
            <w:pPr>
              <w:spacing w:after="100" w:afterAutospacing="1"/>
              <w:jc w:val="center"/>
              <w:rPr>
                <w:rFonts w:ascii="Garamond" w:hAnsi="Garamond" w:cs="Times New Roman"/>
                <w:b/>
                <w:color w:val="000000" w:themeColor="text1"/>
                <w:vertAlign w:val="superscript"/>
              </w:rPr>
            </w:pPr>
            <w:r>
              <w:rPr>
                <w:rFonts w:ascii="Garamond" w:hAnsi="Garamond" w:cs="Times New Roman"/>
                <w:b/>
                <w:color w:val="000000" w:themeColor="text1"/>
              </w:rPr>
              <w:t>Total Chapter 11 Cases reaching disposition</w:t>
            </w:r>
          </w:p>
        </w:tc>
        <w:tc>
          <w:tcPr>
            <w:tcW w:w="1620" w:type="dxa"/>
          </w:tcPr>
          <w:p w:rsidR="007359D5" w:rsidRDefault="007359D5" w:rsidP="00A6540D">
            <w:pPr>
              <w:spacing w:after="100" w:afterAutospacing="1"/>
              <w:jc w:val="center"/>
              <w:rPr>
                <w:rFonts w:ascii="Garamond" w:hAnsi="Garamond" w:cs="Times New Roman"/>
                <w:b/>
                <w:color w:val="000000" w:themeColor="text1"/>
              </w:rPr>
            </w:pPr>
            <w:r>
              <w:rPr>
                <w:rFonts w:ascii="Garamond" w:hAnsi="Garamond" w:cs="Times New Roman"/>
                <w:b/>
                <w:color w:val="000000" w:themeColor="text1"/>
              </w:rPr>
              <w:t>SB as % of all cases reaching disposition</w:t>
            </w:r>
          </w:p>
        </w:tc>
        <w:tc>
          <w:tcPr>
            <w:tcW w:w="1901" w:type="dxa"/>
          </w:tcPr>
          <w:p w:rsidR="007359D5" w:rsidRDefault="007359D5" w:rsidP="004E6C78">
            <w:pPr>
              <w:spacing w:after="100" w:afterAutospacing="1"/>
              <w:jc w:val="center"/>
              <w:rPr>
                <w:rFonts w:ascii="Garamond" w:hAnsi="Garamond" w:cs="Times New Roman"/>
                <w:b/>
                <w:color w:val="000000" w:themeColor="text1"/>
              </w:rPr>
            </w:pPr>
            <w:r>
              <w:rPr>
                <w:rFonts w:ascii="Garamond" w:hAnsi="Garamond" w:cs="Times New Roman"/>
                <w:b/>
                <w:color w:val="000000" w:themeColor="text1"/>
              </w:rPr>
              <w:t xml:space="preserve">SB as % of initial </w:t>
            </w:r>
            <w:r w:rsidR="004E6C78">
              <w:rPr>
                <w:rFonts w:ascii="Garamond" w:hAnsi="Garamond" w:cs="Times New Roman"/>
                <w:b/>
                <w:color w:val="000000" w:themeColor="text1"/>
              </w:rPr>
              <w:t>799</w:t>
            </w:r>
            <w:r>
              <w:rPr>
                <w:rFonts w:ascii="Garamond" w:hAnsi="Garamond" w:cs="Times New Roman"/>
                <w:b/>
                <w:color w:val="000000" w:themeColor="text1"/>
              </w:rPr>
              <w:t>-case sample</w:t>
            </w:r>
          </w:p>
        </w:tc>
      </w:tr>
      <w:tr w:rsidR="007359D5" w:rsidTr="00A6540D">
        <w:tc>
          <w:tcPr>
            <w:tcW w:w="475" w:type="dxa"/>
          </w:tcPr>
          <w:p w:rsidR="007359D5" w:rsidRDefault="007359D5" w:rsidP="00A6540D">
            <w:pPr>
              <w:spacing w:after="100" w:afterAutospacing="1"/>
              <w:rPr>
                <w:rFonts w:ascii="Garamond" w:hAnsi="Garamond" w:cs="Times New Roman"/>
                <w:smallCaps/>
                <w:color w:val="000000" w:themeColor="text1"/>
              </w:rPr>
            </w:pPr>
            <w:r>
              <w:rPr>
                <w:rFonts w:ascii="Garamond" w:hAnsi="Garamond" w:cs="Times New Roman"/>
                <w:smallCaps/>
                <w:color w:val="000000" w:themeColor="text1"/>
              </w:rPr>
              <w:t>(1)</w:t>
            </w:r>
          </w:p>
        </w:tc>
        <w:tc>
          <w:tcPr>
            <w:tcW w:w="1775" w:type="dxa"/>
          </w:tcPr>
          <w:p w:rsidR="007359D5" w:rsidRPr="00EF359C" w:rsidRDefault="007359D5" w:rsidP="00A6540D">
            <w:pPr>
              <w:spacing w:after="100" w:afterAutospacing="1"/>
              <w:rPr>
                <w:rFonts w:ascii="Garamond" w:hAnsi="Garamond" w:cs="Times New Roman"/>
                <w:color w:val="000000" w:themeColor="text1"/>
              </w:rPr>
            </w:pPr>
            <w:r>
              <w:rPr>
                <w:rFonts w:ascii="Garamond" w:hAnsi="Garamond" w:cs="Times New Roman"/>
                <w:smallCaps/>
                <w:color w:val="000000" w:themeColor="text1"/>
              </w:rPr>
              <w:t xml:space="preserve">346 </w:t>
            </w:r>
            <w:r>
              <w:rPr>
                <w:rFonts w:ascii="Garamond" w:hAnsi="Garamond" w:cs="Times New Roman"/>
                <w:color w:val="000000" w:themeColor="text1"/>
              </w:rPr>
              <w:t>Days to 1 Year</w:t>
            </w:r>
          </w:p>
        </w:tc>
        <w:tc>
          <w:tcPr>
            <w:tcW w:w="1465" w:type="dxa"/>
          </w:tcPr>
          <w:p w:rsidR="007359D5" w:rsidRPr="00EF359C" w:rsidRDefault="007359D5" w:rsidP="00A6540D">
            <w:pPr>
              <w:spacing w:after="100" w:afterAutospacing="1"/>
              <w:jc w:val="center"/>
              <w:rPr>
                <w:rFonts w:ascii="Garamond" w:hAnsi="Garamond" w:cs="Times New Roman"/>
                <w:color w:val="000000" w:themeColor="text1"/>
              </w:rPr>
            </w:pPr>
            <w:r w:rsidRPr="00EF359C">
              <w:rPr>
                <w:rFonts w:ascii="Garamond" w:hAnsi="Garamond" w:cs="Times New Roman"/>
                <w:color w:val="000000" w:themeColor="text1"/>
              </w:rPr>
              <w:t>1</w:t>
            </w:r>
            <w:r>
              <w:rPr>
                <w:rFonts w:ascii="Garamond" w:hAnsi="Garamond" w:cs="Times New Roman"/>
                <w:color w:val="000000" w:themeColor="text1"/>
              </w:rPr>
              <w:t>4</w:t>
            </w:r>
          </w:p>
        </w:tc>
        <w:tc>
          <w:tcPr>
            <w:tcW w:w="1325" w:type="dxa"/>
          </w:tcPr>
          <w:p w:rsidR="007359D5" w:rsidRPr="00CA70F8" w:rsidRDefault="007359D5" w:rsidP="00A6540D">
            <w:pPr>
              <w:spacing w:after="100" w:afterAutospacing="1"/>
              <w:jc w:val="center"/>
              <w:rPr>
                <w:rFonts w:ascii="Garamond" w:hAnsi="Garamond" w:cs="Times New Roman"/>
                <w:color w:val="000000" w:themeColor="text1"/>
              </w:rPr>
            </w:pPr>
            <w:r w:rsidRPr="00CA70F8">
              <w:rPr>
                <w:rFonts w:ascii="Garamond" w:hAnsi="Garamond" w:cs="Times New Roman"/>
                <w:color w:val="000000" w:themeColor="text1"/>
              </w:rPr>
              <w:t>2</w:t>
            </w:r>
            <w:r>
              <w:rPr>
                <w:rFonts w:ascii="Garamond" w:hAnsi="Garamond" w:cs="Times New Roman"/>
                <w:color w:val="000000" w:themeColor="text1"/>
              </w:rPr>
              <w:t>4</w:t>
            </w:r>
          </w:p>
        </w:tc>
        <w:tc>
          <w:tcPr>
            <w:tcW w:w="1620" w:type="dxa"/>
          </w:tcPr>
          <w:p w:rsidR="007359D5" w:rsidRPr="00CA70F8" w:rsidRDefault="007359D5" w:rsidP="00A6540D">
            <w:pPr>
              <w:spacing w:after="100" w:afterAutospacing="1"/>
              <w:jc w:val="center"/>
              <w:rPr>
                <w:rFonts w:ascii="Garamond" w:hAnsi="Garamond" w:cs="Times New Roman"/>
                <w:color w:val="000000" w:themeColor="text1"/>
              </w:rPr>
            </w:pPr>
            <w:r>
              <w:rPr>
                <w:rFonts w:ascii="Garamond" w:hAnsi="Garamond" w:cs="Times New Roman"/>
                <w:color w:val="000000" w:themeColor="text1"/>
              </w:rPr>
              <w:t>14/24 = 58%</w:t>
            </w:r>
          </w:p>
        </w:tc>
        <w:tc>
          <w:tcPr>
            <w:tcW w:w="1901" w:type="dxa"/>
          </w:tcPr>
          <w:p w:rsidR="007359D5" w:rsidRPr="00CA70F8" w:rsidRDefault="007359D5" w:rsidP="00A6540D">
            <w:pPr>
              <w:spacing w:after="100" w:afterAutospacing="1"/>
              <w:jc w:val="center"/>
              <w:rPr>
                <w:rFonts w:ascii="Garamond" w:hAnsi="Garamond" w:cs="Times New Roman"/>
                <w:color w:val="000000" w:themeColor="text1"/>
              </w:rPr>
            </w:pPr>
            <w:r>
              <w:rPr>
                <w:rFonts w:ascii="Garamond" w:hAnsi="Garamond" w:cs="Times New Roman"/>
                <w:color w:val="000000" w:themeColor="text1"/>
              </w:rPr>
              <w:t xml:space="preserve">14/799 = </w:t>
            </w:r>
            <w:r w:rsidRPr="00CA70F8">
              <w:rPr>
                <w:rFonts w:ascii="Garamond" w:hAnsi="Garamond" w:cs="Times New Roman"/>
                <w:color w:val="000000" w:themeColor="text1"/>
              </w:rPr>
              <w:t>1.</w:t>
            </w:r>
            <w:r>
              <w:rPr>
                <w:rFonts w:ascii="Garamond" w:hAnsi="Garamond" w:cs="Times New Roman"/>
                <w:color w:val="000000" w:themeColor="text1"/>
              </w:rPr>
              <w:t>8</w:t>
            </w:r>
            <w:r w:rsidRPr="00CA70F8">
              <w:rPr>
                <w:rFonts w:ascii="Garamond" w:hAnsi="Garamond" w:cs="Times New Roman"/>
                <w:color w:val="000000" w:themeColor="text1"/>
              </w:rPr>
              <w:t>%</w:t>
            </w:r>
          </w:p>
        </w:tc>
      </w:tr>
      <w:tr w:rsidR="007359D5" w:rsidTr="00A6540D">
        <w:tc>
          <w:tcPr>
            <w:tcW w:w="475" w:type="dxa"/>
          </w:tcPr>
          <w:p w:rsidR="007359D5" w:rsidRDefault="007359D5" w:rsidP="00A6540D">
            <w:pPr>
              <w:spacing w:after="100" w:afterAutospacing="1"/>
              <w:rPr>
                <w:rFonts w:ascii="Garamond" w:hAnsi="Garamond" w:cs="Times New Roman"/>
                <w:color w:val="000000" w:themeColor="text1"/>
              </w:rPr>
            </w:pPr>
            <w:r>
              <w:rPr>
                <w:rFonts w:ascii="Garamond" w:hAnsi="Garamond" w:cs="Times New Roman"/>
                <w:color w:val="000000" w:themeColor="text1"/>
              </w:rPr>
              <w:t>(2)</w:t>
            </w:r>
          </w:p>
        </w:tc>
        <w:tc>
          <w:tcPr>
            <w:tcW w:w="1775" w:type="dxa"/>
          </w:tcPr>
          <w:p w:rsidR="007359D5" w:rsidRPr="003C4392" w:rsidRDefault="007359D5" w:rsidP="00A6540D">
            <w:pPr>
              <w:spacing w:after="100" w:afterAutospacing="1"/>
              <w:rPr>
                <w:rFonts w:ascii="Garamond" w:hAnsi="Garamond" w:cs="Times New Roman"/>
                <w:color w:val="000000" w:themeColor="text1"/>
              </w:rPr>
            </w:pPr>
            <w:r>
              <w:rPr>
                <w:rFonts w:ascii="Garamond" w:hAnsi="Garamond" w:cs="Times New Roman"/>
                <w:color w:val="000000" w:themeColor="text1"/>
              </w:rPr>
              <w:t>366 – 456 Days (15 mos.)</w:t>
            </w:r>
          </w:p>
        </w:tc>
        <w:tc>
          <w:tcPr>
            <w:tcW w:w="1465" w:type="dxa"/>
          </w:tcPr>
          <w:p w:rsidR="007359D5" w:rsidRPr="003C4392" w:rsidRDefault="007359D5" w:rsidP="0056261C">
            <w:pPr>
              <w:spacing w:after="100" w:afterAutospacing="1"/>
              <w:jc w:val="center"/>
              <w:rPr>
                <w:rFonts w:ascii="Garamond" w:hAnsi="Garamond" w:cs="Times New Roman"/>
                <w:color w:val="000000" w:themeColor="text1"/>
              </w:rPr>
            </w:pPr>
            <w:r>
              <w:rPr>
                <w:rFonts w:ascii="Garamond" w:hAnsi="Garamond" w:cs="Times New Roman"/>
                <w:color w:val="000000" w:themeColor="text1"/>
              </w:rPr>
              <w:t>4</w:t>
            </w:r>
            <w:r w:rsidR="0056261C">
              <w:rPr>
                <w:rFonts w:ascii="Garamond" w:hAnsi="Garamond" w:cs="Times New Roman"/>
                <w:color w:val="000000" w:themeColor="text1"/>
              </w:rPr>
              <w:t>3</w:t>
            </w:r>
          </w:p>
        </w:tc>
        <w:tc>
          <w:tcPr>
            <w:tcW w:w="1325" w:type="dxa"/>
          </w:tcPr>
          <w:p w:rsidR="007359D5" w:rsidRPr="000564F7" w:rsidRDefault="007359D5" w:rsidP="00A6540D">
            <w:pPr>
              <w:spacing w:after="100" w:afterAutospacing="1"/>
              <w:jc w:val="center"/>
              <w:rPr>
                <w:rFonts w:ascii="Garamond" w:hAnsi="Garamond" w:cs="Times New Roman"/>
                <w:color w:val="000000" w:themeColor="text1"/>
              </w:rPr>
            </w:pPr>
            <w:r>
              <w:rPr>
                <w:rFonts w:ascii="Garamond" w:hAnsi="Garamond" w:cs="Times New Roman"/>
                <w:color w:val="000000" w:themeColor="text1"/>
              </w:rPr>
              <w:t>68</w:t>
            </w:r>
          </w:p>
        </w:tc>
        <w:tc>
          <w:tcPr>
            <w:tcW w:w="1620" w:type="dxa"/>
          </w:tcPr>
          <w:p w:rsidR="007359D5" w:rsidRDefault="007359D5" w:rsidP="0056261C">
            <w:pPr>
              <w:spacing w:after="100" w:afterAutospacing="1"/>
              <w:jc w:val="center"/>
              <w:rPr>
                <w:rFonts w:ascii="Garamond" w:hAnsi="Garamond" w:cs="Times New Roman"/>
                <w:color w:val="000000" w:themeColor="text1"/>
              </w:rPr>
            </w:pPr>
            <w:r>
              <w:rPr>
                <w:rFonts w:ascii="Garamond" w:hAnsi="Garamond" w:cs="Times New Roman"/>
                <w:color w:val="000000" w:themeColor="text1"/>
              </w:rPr>
              <w:t>4</w:t>
            </w:r>
            <w:r w:rsidR="0056261C">
              <w:rPr>
                <w:rFonts w:ascii="Garamond" w:hAnsi="Garamond" w:cs="Times New Roman"/>
                <w:color w:val="000000" w:themeColor="text1"/>
              </w:rPr>
              <w:t>3</w:t>
            </w:r>
            <w:r>
              <w:rPr>
                <w:rFonts w:ascii="Garamond" w:hAnsi="Garamond" w:cs="Times New Roman"/>
                <w:color w:val="000000" w:themeColor="text1"/>
              </w:rPr>
              <w:t xml:space="preserve">/68 = </w:t>
            </w:r>
            <w:r w:rsidR="0056261C">
              <w:rPr>
                <w:rFonts w:ascii="Garamond" w:hAnsi="Garamond" w:cs="Times New Roman"/>
                <w:color w:val="000000" w:themeColor="text1"/>
              </w:rPr>
              <w:t>63</w:t>
            </w:r>
            <w:r>
              <w:rPr>
                <w:rFonts w:ascii="Garamond" w:hAnsi="Garamond" w:cs="Times New Roman"/>
                <w:color w:val="000000" w:themeColor="text1"/>
              </w:rPr>
              <w:t>%</w:t>
            </w:r>
          </w:p>
        </w:tc>
        <w:tc>
          <w:tcPr>
            <w:tcW w:w="1901" w:type="dxa"/>
          </w:tcPr>
          <w:p w:rsidR="007359D5" w:rsidRDefault="007359D5" w:rsidP="0056261C">
            <w:pPr>
              <w:spacing w:after="100" w:afterAutospacing="1"/>
              <w:jc w:val="center"/>
              <w:rPr>
                <w:rFonts w:ascii="Garamond" w:hAnsi="Garamond" w:cs="Times New Roman"/>
                <w:b/>
                <w:color w:val="000000" w:themeColor="text1"/>
              </w:rPr>
            </w:pPr>
            <w:r>
              <w:rPr>
                <w:rFonts w:ascii="Garamond" w:hAnsi="Garamond" w:cs="Times New Roman"/>
                <w:color w:val="000000" w:themeColor="text1"/>
              </w:rPr>
              <w:t>4</w:t>
            </w:r>
            <w:r w:rsidR="0056261C">
              <w:rPr>
                <w:rFonts w:ascii="Garamond" w:hAnsi="Garamond" w:cs="Times New Roman"/>
                <w:color w:val="000000" w:themeColor="text1"/>
              </w:rPr>
              <w:t>3</w:t>
            </w:r>
            <w:r>
              <w:rPr>
                <w:rFonts w:ascii="Garamond" w:hAnsi="Garamond" w:cs="Times New Roman"/>
                <w:color w:val="000000" w:themeColor="text1"/>
              </w:rPr>
              <w:t>/799 = 5.</w:t>
            </w:r>
            <w:r w:rsidR="0056261C">
              <w:rPr>
                <w:rFonts w:ascii="Garamond" w:hAnsi="Garamond" w:cs="Times New Roman"/>
                <w:color w:val="000000" w:themeColor="text1"/>
              </w:rPr>
              <w:t>4</w:t>
            </w:r>
            <w:r>
              <w:rPr>
                <w:rFonts w:ascii="Garamond" w:hAnsi="Garamond" w:cs="Times New Roman"/>
                <w:color w:val="000000" w:themeColor="text1"/>
              </w:rPr>
              <w:t>%</w:t>
            </w:r>
          </w:p>
        </w:tc>
      </w:tr>
      <w:tr w:rsidR="007359D5" w:rsidTr="00A6540D">
        <w:tc>
          <w:tcPr>
            <w:tcW w:w="475" w:type="dxa"/>
          </w:tcPr>
          <w:p w:rsidR="007359D5" w:rsidRDefault="007359D5" w:rsidP="00A6540D">
            <w:pPr>
              <w:spacing w:after="100" w:afterAutospacing="1"/>
              <w:rPr>
                <w:rFonts w:ascii="Garamond" w:hAnsi="Garamond" w:cs="Times New Roman"/>
                <w:color w:val="000000" w:themeColor="text1"/>
              </w:rPr>
            </w:pPr>
            <w:r>
              <w:rPr>
                <w:rFonts w:ascii="Garamond" w:hAnsi="Garamond" w:cs="Times New Roman"/>
                <w:color w:val="000000" w:themeColor="text1"/>
              </w:rPr>
              <w:t>(3)</w:t>
            </w:r>
          </w:p>
        </w:tc>
        <w:tc>
          <w:tcPr>
            <w:tcW w:w="1775" w:type="dxa"/>
          </w:tcPr>
          <w:p w:rsidR="007359D5" w:rsidRPr="00B90297" w:rsidRDefault="007359D5" w:rsidP="00A6540D">
            <w:pPr>
              <w:spacing w:after="100" w:afterAutospacing="1"/>
              <w:rPr>
                <w:rFonts w:ascii="Garamond" w:hAnsi="Garamond" w:cs="Times New Roman"/>
                <w:color w:val="000000" w:themeColor="text1"/>
              </w:rPr>
            </w:pPr>
            <w:r>
              <w:rPr>
                <w:rFonts w:ascii="Garamond" w:hAnsi="Garamond" w:cs="Times New Roman"/>
                <w:color w:val="000000" w:themeColor="text1"/>
              </w:rPr>
              <w:t>457 – 547 Days (18 mos.)</w:t>
            </w:r>
          </w:p>
        </w:tc>
        <w:tc>
          <w:tcPr>
            <w:tcW w:w="1465" w:type="dxa"/>
          </w:tcPr>
          <w:p w:rsidR="007359D5" w:rsidRPr="00B90297" w:rsidRDefault="007359D5" w:rsidP="0056261C">
            <w:pPr>
              <w:spacing w:after="100" w:afterAutospacing="1"/>
              <w:jc w:val="center"/>
              <w:rPr>
                <w:rFonts w:ascii="Garamond" w:hAnsi="Garamond" w:cs="Times New Roman"/>
                <w:color w:val="000000" w:themeColor="text1"/>
              </w:rPr>
            </w:pPr>
            <w:r>
              <w:rPr>
                <w:rFonts w:ascii="Garamond" w:hAnsi="Garamond" w:cs="Times New Roman"/>
                <w:color w:val="000000" w:themeColor="text1"/>
              </w:rPr>
              <w:t>2</w:t>
            </w:r>
            <w:r w:rsidR="0056261C">
              <w:rPr>
                <w:rFonts w:ascii="Garamond" w:hAnsi="Garamond" w:cs="Times New Roman"/>
                <w:color w:val="000000" w:themeColor="text1"/>
              </w:rPr>
              <w:t>2</w:t>
            </w:r>
          </w:p>
        </w:tc>
        <w:tc>
          <w:tcPr>
            <w:tcW w:w="1325" w:type="dxa"/>
          </w:tcPr>
          <w:p w:rsidR="007359D5" w:rsidRPr="00B90297" w:rsidRDefault="007359D5" w:rsidP="00A6540D">
            <w:pPr>
              <w:spacing w:after="100" w:afterAutospacing="1"/>
              <w:jc w:val="center"/>
              <w:rPr>
                <w:rFonts w:ascii="Garamond" w:hAnsi="Garamond" w:cs="Times New Roman"/>
                <w:color w:val="000000" w:themeColor="text1"/>
              </w:rPr>
            </w:pPr>
            <w:r>
              <w:rPr>
                <w:rFonts w:ascii="Garamond" w:hAnsi="Garamond" w:cs="Times New Roman"/>
                <w:color w:val="000000" w:themeColor="text1"/>
              </w:rPr>
              <w:t>63</w:t>
            </w:r>
          </w:p>
        </w:tc>
        <w:tc>
          <w:tcPr>
            <w:tcW w:w="1620" w:type="dxa"/>
          </w:tcPr>
          <w:p w:rsidR="007359D5" w:rsidRDefault="007359D5" w:rsidP="0056261C">
            <w:pPr>
              <w:spacing w:after="100" w:afterAutospacing="1"/>
              <w:jc w:val="center"/>
              <w:rPr>
                <w:rFonts w:ascii="Garamond" w:hAnsi="Garamond" w:cs="Times New Roman"/>
                <w:color w:val="000000" w:themeColor="text1"/>
              </w:rPr>
            </w:pPr>
            <w:r>
              <w:rPr>
                <w:rFonts w:ascii="Garamond" w:hAnsi="Garamond" w:cs="Times New Roman"/>
                <w:color w:val="000000" w:themeColor="text1"/>
              </w:rPr>
              <w:t>2</w:t>
            </w:r>
            <w:r w:rsidR="0056261C">
              <w:rPr>
                <w:rFonts w:ascii="Garamond" w:hAnsi="Garamond" w:cs="Times New Roman"/>
                <w:color w:val="000000" w:themeColor="text1"/>
              </w:rPr>
              <w:t>2</w:t>
            </w:r>
            <w:r>
              <w:rPr>
                <w:rFonts w:ascii="Garamond" w:hAnsi="Garamond" w:cs="Times New Roman"/>
                <w:color w:val="000000" w:themeColor="text1"/>
              </w:rPr>
              <w:t xml:space="preserve">/63 = </w:t>
            </w:r>
            <w:r w:rsidR="0056261C">
              <w:rPr>
                <w:rFonts w:ascii="Garamond" w:hAnsi="Garamond" w:cs="Times New Roman"/>
                <w:color w:val="000000" w:themeColor="text1"/>
              </w:rPr>
              <w:t>35</w:t>
            </w:r>
            <w:r>
              <w:rPr>
                <w:rFonts w:ascii="Garamond" w:hAnsi="Garamond" w:cs="Times New Roman"/>
                <w:color w:val="000000" w:themeColor="text1"/>
              </w:rPr>
              <w:t>%</w:t>
            </w:r>
          </w:p>
        </w:tc>
        <w:tc>
          <w:tcPr>
            <w:tcW w:w="1901" w:type="dxa"/>
          </w:tcPr>
          <w:p w:rsidR="007359D5" w:rsidRDefault="007359D5" w:rsidP="0056261C">
            <w:pPr>
              <w:spacing w:after="100" w:afterAutospacing="1"/>
              <w:jc w:val="center"/>
              <w:rPr>
                <w:rFonts w:ascii="Garamond" w:hAnsi="Garamond" w:cs="Times New Roman"/>
                <w:color w:val="000000" w:themeColor="text1"/>
              </w:rPr>
            </w:pPr>
            <w:r>
              <w:rPr>
                <w:rFonts w:ascii="Garamond" w:hAnsi="Garamond" w:cs="Times New Roman"/>
                <w:color w:val="000000" w:themeColor="text1"/>
              </w:rPr>
              <w:t>2</w:t>
            </w:r>
            <w:r w:rsidR="0056261C">
              <w:rPr>
                <w:rFonts w:ascii="Garamond" w:hAnsi="Garamond" w:cs="Times New Roman"/>
                <w:color w:val="000000" w:themeColor="text1"/>
              </w:rPr>
              <w:t>2</w:t>
            </w:r>
            <w:r>
              <w:rPr>
                <w:rFonts w:ascii="Garamond" w:hAnsi="Garamond" w:cs="Times New Roman"/>
                <w:color w:val="000000" w:themeColor="text1"/>
              </w:rPr>
              <w:t xml:space="preserve">/799 = </w:t>
            </w:r>
            <w:r w:rsidR="0056261C">
              <w:rPr>
                <w:rFonts w:ascii="Garamond" w:hAnsi="Garamond" w:cs="Times New Roman"/>
                <w:color w:val="000000" w:themeColor="text1"/>
              </w:rPr>
              <w:t>2.8</w:t>
            </w:r>
            <w:r>
              <w:rPr>
                <w:rFonts w:ascii="Garamond" w:hAnsi="Garamond" w:cs="Times New Roman"/>
                <w:color w:val="000000" w:themeColor="text1"/>
              </w:rPr>
              <w:t>%</w:t>
            </w:r>
          </w:p>
        </w:tc>
      </w:tr>
      <w:tr w:rsidR="007359D5" w:rsidTr="00A6540D">
        <w:tc>
          <w:tcPr>
            <w:tcW w:w="475" w:type="dxa"/>
          </w:tcPr>
          <w:p w:rsidR="007359D5" w:rsidRDefault="007359D5" w:rsidP="00A6540D">
            <w:pPr>
              <w:spacing w:after="100" w:afterAutospacing="1"/>
              <w:rPr>
                <w:rFonts w:ascii="Garamond" w:hAnsi="Garamond" w:cs="Times New Roman"/>
                <w:color w:val="000000" w:themeColor="text1"/>
              </w:rPr>
            </w:pPr>
            <w:r>
              <w:rPr>
                <w:rFonts w:ascii="Garamond" w:hAnsi="Garamond" w:cs="Times New Roman"/>
                <w:color w:val="000000" w:themeColor="text1"/>
              </w:rPr>
              <w:t>(4)</w:t>
            </w:r>
          </w:p>
        </w:tc>
        <w:tc>
          <w:tcPr>
            <w:tcW w:w="1775" w:type="dxa"/>
          </w:tcPr>
          <w:p w:rsidR="007359D5" w:rsidRPr="00B90297" w:rsidRDefault="007359D5" w:rsidP="00A6540D">
            <w:pPr>
              <w:spacing w:after="100" w:afterAutospacing="1"/>
              <w:rPr>
                <w:rFonts w:ascii="Garamond" w:hAnsi="Garamond" w:cs="Times New Roman"/>
                <w:color w:val="000000" w:themeColor="text1"/>
              </w:rPr>
            </w:pPr>
            <w:r>
              <w:rPr>
                <w:rFonts w:ascii="Garamond" w:hAnsi="Garamond" w:cs="Times New Roman"/>
                <w:color w:val="000000" w:themeColor="text1"/>
              </w:rPr>
              <w:t>548 Days to 2 Years</w:t>
            </w:r>
          </w:p>
        </w:tc>
        <w:tc>
          <w:tcPr>
            <w:tcW w:w="1465" w:type="dxa"/>
          </w:tcPr>
          <w:p w:rsidR="007359D5" w:rsidRPr="00B90297" w:rsidRDefault="0056261C" w:rsidP="0056261C">
            <w:pPr>
              <w:spacing w:after="100" w:afterAutospacing="1"/>
              <w:jc w:val="center"/>
              <w:rPr>
                <w:rFonts w:ascii="Garamond" w:hAnsi="Garamond" w:cs="Times New Roman"/>
                <w:color w:val="000000" w:themeColor="text1"/>
              </w:rPr>
            </w:pPr>
            <w:r>
              <w:rPr>
                <w:rFonts w:ascii="Garamond" w:hAnsi="Garamond" w:cs="Times New Roman"/>
                <w:color w:val="000000" w:themeColor="text1"/>
              </w:rPr>
              <w:t>38</w:t>
            </w:r>
          </w:p>
        </w:tc>
        <w:tc>
          <w:tcPr>
            <w:tcW w:w="1325" w:type="dxa"/>
          </w:tcPr>
          <w:p w:rsidR="007359D5" w:rsidRPr="00B90297" w:rsidRDefault="007359D5" w:rsidP="00A6540D">
            <w:pPr>
              <w:spacing w:after="100" w:afterAutospacing="1"/>
              <w:jc w:val="center"/>
              <w:rPr>
                <w:rFonts w:ascii="Garamond" w:hAnsi="Garamond" w:cs="Times New Roman"/>
                <w:color w:val="000000" w:themeColor="text1"/>
              </w:rPr>
            </w:pPr>
            <w:r>
              <w:rPr>
                <w:rFonts w:ascii="Garamond" w:hAnsi="Garamond" w:cs="Times New Roman"/>
                <w:color w:val="000000" w:themeColor="text1"/>
              </w:rPr>
              <w:t>75</w:t>
            </w:r>
          </w:p>
        </w:tc>
        <w:tc>
          <w:tcPr>
            <w:tcW w:w="1620" w:type="dxa"/>
          </w:tcPr>
          <w:p w:rsidR="007359D5" w:rsidRDefault="0056261C" w:rsidP="0056261C">
            <w:pPr>
              <w:spacing w:after="100" w:afterAutospacing="1"/>
              <w:jc w:val="center"/>
              <w:rPr>
                <w:rFonts w:ascii="Garamond" w:hAnsi="Garamond" w:cs="Times New Roman"/>
                <w:color w:val="000000" w:themeColor="text1"/>
              </w:rPr>
            </w:pPr>
            <w:r>
              <w:rPr>
                <w:rFonts w:ascii="Garamond" w:hAnsi="Garamond" w:cs="Times New Roman"/>
                <w:color w:val="000000" w:themeColor="text1"/>
              </w:rPr>
              <w:t>38</w:t>
            </w:r>
            <w:r w:rsidR="007359D5">
              <w:rPr>
                <w:rFonts w:ascii="Garamond" w:hAnsi="Garamond" w:cs="Times New Roman"/>
                <w:color w:val="000000" w:themeColor="text1"/>
              </w:rPr>
              <w:t>/75 = 5</w:t>
            </w:r>
            <w:r>
              <w:rPr>
                <w:rFonts w:ascii="Garamond" w:hAnsi="Garamond" w:cs="Times New Roman"/>
                <w:color w:val="000000" w:themeColor="text1"/>
              </w:rPr>
              <w:t>1</w:t>
            </w:r>
            <w:r w:rsidR="007359D5">
              <w:rPr>
                <w:rFonts w:ascii="Garamond" w:hAnsi="Garamond" w:cs="Times New Roman"/>
                <w:color w:val="000000" w:themeColor="text1"/>
              </w:rPr>
              <w:t>%</w:t>
            </w:r>
          </w:p>
        </w:tc>
        <w:tc>
          <w:tcPr>
            <w:tcW w:w="1901" w:type="dxa"/>
          </w:tcPr>
          <w:p w:rsidR="007359D5" w:rsidRDefault="0056261C" w:rsidP="0056261C">
            <w:pPr>
              <w:spacing w:after="100" w:afterAutospacing="1"/>
              <w:jc w:val="center"/>
              <w:rPr>
                <w:rFonts w:ascii="Garamond" w:hAnsi="Garamond" w:cs="Times New Roman"/>
                <w:color w:val="000000" w:themeColor="text1"/>
              </w:rPr>
            </w:pPr>
            <w:r>
              <w:rPr>
                <w:rFonts w:ascii="Garamond" w:hAnsi="Garamond" w:cs="Times New Roman"/>
                <w:color w:val="000000" w:themeColor="text1"/>
              </w:rPr>
              <w:t>38</w:t>
            </w:r>
            <w:r w:rsidR="007359D5">
              <w:rPr>
                <w:rFonts w:ascii="Garamond" w:hAnsi="Garamond" w:cs="Times New Roman"/>
                <w:color w:val="000000" w:themeColor="text1"/>
              </w:rPr>
              <w:t xml:space="preserve">/799 = </w:t>
            </w:r>
            <w:r>
              <w:rPr>
                <w:rFonts w:ascii="Garamond" w:hAnsi="Garamond" w:cs="Times New Roman"/>
                <w:color w:val="000000" w:themeColor="text1"/>
              </w:rPr>
              <w:t>4.8</w:t>
            </w:r>
            <w:r w:rsidR="007359D5">
              <w:rPr>
                <w:rFonts w:ascii="Garamond" w:hAnsi="Garamond" w:cs="Times New Roman"/>
                <w:color w:val="000000" w:themeColor="text1"/>
              </w:rPr>
              <w:t>%</w:t>
            </w:r>
          </w:p>
        </w:tc>
      </w:tr>
      <w:tr w:rsidR="007359D5" w:rsidTr="00A6540D">
        <w:tc>
          <w:tcPr>
            <w:tcW w:w="475" w:type="dxa"/>
            <w:tcBorders>
              <w:bottom w:val="single" w:sz="18" w:space="0" w:color="auto"/>
            </w:tcBorders>
          </w:tcPr>
          <w:p w:rsidR="007359D5" w:rsidRDefault="007359D5" w:rsidP="00A6540D">
            <w:pPr>
              <w:spacing w:after="100" w:afterAutospacing="1"/>
              <w:rPr>
                <w:rFonts w:ascii="Garamond" w:hAnsi="Garamond" w:cs="Times New Roman"/>
                <w:color w:val="000000" w:themeColor="text1"/>
              </w:rPr>
            </w:pPr>
            <w:r>
              <w:rPr>
                <w:rFonts w:ascii="Garamond" w:hAnsi="Garamond" w:cs="Times New Roman"/>
                <w:color w:val="000000" w:themeColor="text1"/>
              </w:rPr>
              <w:t>(5)</w:t>
            </w:r>
          </w:p>
        </w:tc>
        <w:tc>
          <w:tcPr>
            <w:tcW w:w="1775" w:type="dxa"/>
            <w:tcBorders>
              <w:bottom w:val="single" w:sz="18" w:space="0" w:color="auto"/>
            </w:tcBorders>
          </w:tcPr>
          <w:p w:rsidR="007359D5" w:rsidRDefault="007359D5" w:rsidP="00A6540D">
            <w:pPr>
              <w:spacing w:after="100" w:afterAutospacing="1"/>
              <w:rPr>
                <w:rFonts w:ascii="Garamond" w:hAnsi="Garamond" w:cs="Times New Roman"/>
                <w:color w:val="000000" w:themeColor="text1"/>
              </w:rPr>
            </w:pPr>
            <w:r>
              <w:rPr>
                <w:rFonts w:ascii="Garamond" w:hAnsi="Garamond" w:cs="Times New Roman"/>
                <w:color w:val="000000" w:themeColor="text1"/>
              </w:rPr>
              <w:t>More than 2 Years</w:t>
            </w:r>
          </w:p>
        </w:tc>
        <w:tc>
          <w:tcPr>
            <w:tcW w:w="1465" w:type="dxa"/>
            <w:tcBorders>
              <w:bottom w:val="single" w:sz="18" w:space="0" w:color="auto"/>
            </w:tcBorders>
          </w:tcPr>
          <w:p w:rsidR="007359D5" w:rsidRDefault="0056261C" w:rsidP="00A6540D">
            <w:pPr>
              <w:spacing w:after="100" w:afterAutospacing="1"/>
              <w:jc w:val="center"/>
              <w:rPr>
                <w:rFonts w:ascii="Garamond" w:hAnsi="Garamond" w:cs="Times New Roman"/>
                <w:color w:val="000000" w:themeColor="text1"/>
              </w:rPr>
            </w:pPr>
            <w:r>
              <w:rPr>
                <w:rFonts w:ascii="Garamond" w:hAnsi="Garamond" w:cs="Times New Roman"/>
                <w:color w:val="000000" w:themeColor="text1"/>
              </w:rPr>
              <w:t>33</w:t>
            </w:r>
          </w:p>
        </w:tc>
        <w:tc>
          <w:tcPr>
            <w:tcW w:w="1325" w:type="dxa"/>
            <w:tcBorders>
              <w:bottom w:val="single" w:sz="18" w:space="0" w:color="auto"/>
            </w:tcBorders>
          </w:tcPr>
          <w:p w:rsidR="007359D5" w:rsidRDefault="007359D5" w:rsidP="00A6540D">
            <w:pPr>
              <w:spacing w:after="100" w:afterAutospacing="1"/>
              <w:jc w:val="center"/>
              <w:rPr>
                <w:rFonts w:ascii="Garamond" w:hAnsi="Garamond" w:cs="Times New Roman"/>
                <w:color w:val="000000" w:themeColor="text1"/>
              </w:rPr>
            </w:pPr>
            <w:r>
              <w:rPr>
                <w:rFonts w:ascii="Garamond" w:hAnsi="Garamond" w:cs="Times New Roman"/>
                <w:color w:val="000000" w:themeColor="text1"/>
              </w:rPr>
              <w:t>86</w:t>
            </w:r>
          </w:p>
        </w:tc>
        <w:tc>
          <w:tcPr>
            <w:tcW w:w="1620" w:type="dxa"/>
            <w:tcBorders>
              <w:bottom w:val="single" w:sz="18" w:space="0" w:color="auto"/>
            </w:tcBorders>
          </w:tcPr>
          <w:p w:rsidR="007359D5" w:rsidRDefault="007359D5" w:rsidP="0056261C">
            <w:pPr>
              <w:spacing w:after="100" w:afterAutospacing="1"/>
              <w:jc w:val="center"/>
              <w:rPr>
                <w:rFonts w:ascii="Garamond" w:hAnsi="Garamond" w:cs="Times New Roman"/>
                <w:color w:val="000000" w:themeColor="text1"/>
              </w:rPr>
            </w:pPr>
            <w:r>
              <w:rPr>
                <w:rFonts w:ascii="Garamond" w:hAnsi="Garamond" w:cs="Times New Roman"/>
                <w:color w:val="000000" w:themeColor="text1"/>
              </w:rPr>
              <w:t>3</w:t>
            </w:r>
            <w:r w:rsidR="0056261C">
              <w:rPr>
                <w:rFonts w:ascii="Garamond" w:hAnsi="Garamond" w:cs="Times New Roman"/>
                <w:color w:val="000000" w:themeColor="text1"/>
              </w:rPr>
              <w:t>3</w:t>
            </w:r>
            <w:r>
              <w:rPr>
                <w:rFonts w:ascii="Garamond" w:hAnsi="Garamond" w:cs="Times New Roman"/>
                <w:color w:val="000000" w:themeColor="text1"/>
              </w:rPr>
              <w:t xml:space="preserve">/86 = </w:t>
            </w:r>
            <w:r w:rsidR="0056261C">
              <w:rPr>
                <w:rFonts w:ascii="Garamond" w:hAnsi="Garamond" w:cs="Times New Roman"/>
                <w:color w:val="000000" w:themeColor="text1"/>
              </w:rPr>
              <w:t>38</w:t>
            </w:r>
            <w:r>
              <w:rPr>
                <w:rFonts w:ascii="Garamond" w:hAnsi="Garamond" w:cs="Times New Roman"/>
                <w:color w:val="000000" w:themeColor="text1"/>
              </w:rPr>
              <w:t>%</w:t>
            </w:r>
          </w:p>
        </w:tc>
        <w:tc>
          <w:tcPr>
            <w:tcW w:w="1901" w:type="dxa"/>
            <w:tcBorders>
              <w:bottom w:val="single" w:sz="18" w:space="0" w:color="auto"/>
            </w:tcBorders>
          </w:tcPr>
          <w:p w:rsidR="007359D5" w:rsidRDefault="007359D5" w:rsidP="0056261C">
            <w:pPr>
              <w:spacing w:after="100" w:afterAutospacing="1"/>
              <w:jc w:val="center"/>
              <w:rPr>
                <w:rFonts w:ascii="Garamond" w:hAnsi="Garamond" w:cs="Times New Roman"/>
                <w:color w:val="000000" w:themeColor="text1"/>
              </w:rPr>
            </w:pPr>
            <w:r>
              <w:rPr>
                <w:rFonts w:ascii="Garamond" w:hAnsi="Garamond" w:cs="Times New Roman"/>
                <w:color w:val="000000" w:themeColor="text1"/>
              </w:rPr>
              <w:t>3</w:t>
            </w:r>
            <w:r w:rsidR="0056261C">
              <w:rPr>
                <w:rFonts w:ascii="Garamond" w:hAnsi="Garamond" w:cs="Times New Roman"/>
                <w:color w:val="000000" w:themeColor="text1"/>
              </w:rPr>
              <w:t>3</w:t>
            </w:r>
            <w:r>
              <w:rPr>
                <w:rFonts w:ascii="Garamond" w:hAnsi="Garamond" w:cs="Times New Roman"/>
                <w:color w:val="000000" w:themeColor="text1"/>
              </w:rPr>
              <w:t>/799 = 4.</w:t>
            </w:r>
            <w:r w:rsidR="0056261C">
              <w:rPr>
                <w:rFonts w:ascii="Garamond" w:hAnsi="Garamond" w:cs="Times New Roman"/>
                <w:color w:val="000000" w:themeColor="text1"/>
              </w:rPr>
              <w:t>1</w:t>
            </w:r>
            <w:r>
              <w:rPr>
                <w:rFonts w:ascii="Garamond" w:hAnsi="Garamond" w:cs="Times New Roman"/>
                <w:color w:val="000000" w:themeColor="text1"/>
              </w:rPr>
              <w:t>%</w:t>
            </w:r>
          </w:p>
        </w:tc>
      </w:tr>
      <w:tr w:rsidR="007359D5" w:rsidTr="00A6540D">
        <w:tc>
          <w:tcPr>
            <w:tcW w:w="475" w:type="dxa"/>
            <w:tcBorders>
              <w:top w:val="single" w:sz="18" w:space="0" w:color="auto"/>
            </w:tcBorders>
          </w:tcPr>
          <w:p w:rsidR="007359D5" w:rsidRDefault="007359D5" w:rsidP="00A6540D">
            <w:pPr>
              <w:spacing w:after="100" w:afterAutospacing="1"/>
              <w:rPr>
                <w:rFonts w:ascii="Garamond" w:hAnsi="Garamond" w:cs="Times New Roman"/>
                <w:b/>
                <w:color w:val="000000" w:themeColor="text1"/>
              </w:rPr>
            </w:pPr>
            <w:r>
              <w:rPr>
                <w:rFonts w:ascii="Garamond" w:hAnsi="Garamond" w:cs="Times New Roman"/>
                <w:b/>
                <w:color w:val="000000" w:themeColor="text1"/>
              </w:rPr>
              <w:t>(6)</w:t>
            </w:r>
          </w:p>
        </w:tc>
        <w:tc>
          <w:tcPr>
            <w:tcW w:w="1775" w:type="dxa"/>
            <w:tcBorders>
              <w:top w:val="single" w:sz="18" w:space="0" w:color="auto"/>
            </w:tcBorders>
          </w:tcPr>
          <w:p w:rsidR="007359D5" w:rsidRPr="00B90297" w:rsidRDefault="007359D5" w:rsidP="00A6540D">
            <w:pPr>
              <w:spacing w:after="100" w:afterAutospacing="1"/>
              <w:rPr>
                <w:rFonts w:ascii="Garamond" w:hAnsi="Garamond" w:cs="Times New Roman"/>
                <w:color w:val="000000" w:themeColor="text1"/>
              </w:rPr>
            </w:pPr>
            <w:r>
              <w:rPr>
                <w:rFonts w:ascii="Garamond" w:hAnsi="Garamond" w:cs="Times New Roman"/>
                <w:b/>
                <w:color w:val="000000" w:themeColor="text1"/>
              </w:rPr>
              <w:t>Totals: 346 Days &amp; Beyond</w:t>
            </w:r>
          </w:p>
        </w:tc>
        <w:tc>
          <w:tcPr>
            <w:tcW w:w="1465" w:type="dxa"/>
            <w:tcBorders>
              <w:top w:val="single" w:sz="18" w:space="0" w:color="auto"/>
            </w:tcBorders>
          </w:tcPr>
          <w:p w:rsidR="007359D5" w:rsidRPr="00A808A1" w:rsidRDefault="0056261C" w:rsidP="00A6540D">
            <w:pPr>
              <w:spacing w:after="100" w:afterAutospacing="1"/>
              <w:jc w:val="center"/>
              <w:rPr>
                <w:rFonts w:ascii="Garamond" w:hAnsi="Garamond" w:cs="Times New Roman"/>
                <w:b/>
                <w:color w:val="000000" w:themeColor="text1"/>
              </w:rPr>
            </w:pPr>
            <w:r>
              <w:rPr>
                <w:rFonts w:ascii="Garamond" w:hAnsi="Garamond" w:cs="Times New Roman"/>
                <w:b/>
                <w:color w:val="000000" w:themeColor="text1"/>
              </w:rPr>
              <w:t>150</w:t>
            </w:r>
          </w:p>
        </w:tc>
        <w:tc>
          <w:tcPr>
            <w:tcW w:w="1325" w:type="dxa"/>
            <w:tcBorders>
              <w:top w:val="single" w:sz="18" w:space="0" w:color="auto"/>
            </w:tcBorders>
          </w:tcPr>
          <w:p w:rsidR="007359D5" w:rsidRPr="00A808A1" w:rsidRDefault="007359D5" w:rsidP="00A6540D">
            <w:pPr>
              <w:spacing w:after="100" w:afterAutospacing="1"/>
              <w:jc w:val="center"/>
              <w:rPr>
                <w:rFonts w:ascii="Garamond" w:hAnsi="Garamond" w:cs="Times New Roman"/>
                <w:b/>
                <w:color w:val="000000" w:themeColor="text1"/>
              </w:rPr>
            </w:pPr>
            <w:r>
              <w:rPr>
                <w:rFonts w:ascii="Garamond" w:hAnsi="Garamond" w:cs="Times New Roman"/>
                <w:b/>
                <w:color w:val="000000" w:themeColor="text1"/>
              </w:rPr>
              <w:t>316</w:t>
            </w:r>
          </w:p>
        </w:tc>
        <w:tc>
          <w:tcPr>
            <w:tcW w:w="1620" w:type="dxa"/>
            <w:tcBorders>
              <w:top w:val="single" w:sz="18" w:space="0" w:color="auto"/>
            </w:tcBorders>
          </w:tcPr>
          <w:p w:rsidR="007359D5" w:rsidRDefault="007359D5" w:rsidP="0056261C">
            <w:pPr>
              <w:spacing w:after="100" w:afterAutospacing="1"/>
              <w:jc w:val="center"/>
              <w:rPr>
                <w:rFonts w:ascii="Garamond" w:hAnsi="Garamond" w:cs="Times New Roman"/>
                <w:b/>
                <w:color w:val="000000" w:themeColor="text1"/>
              </w:rPr>
            </w:pPr>
            <w:r>
              <w:rPr>
                <w:rFonts w:ascii="Garamond" w:hAnsi="Garamond" w:cs="Times New Roman"/>
                <w:b/>
                <w:color w:val="000000" w:themeColor="text1"/>
              </w:rPr>
              <w:t>1</w:t>
            </w:r>
            <w:r w:rsidR="0056261C">
              <w:rPr>
                <w:rFonts w:ascii="Garamond" w:hAnsi="Garamond" w:cs="Times New Roman"/>
                <w:b/>
                <w:color w:val="000000" w:themeColor="text1"/>
              </w:rPr>
              <w:t>50/316 = 47</w:t>
            </w:r>
            <w:r>
              <w:rPr>
                <w:rFonts w:ascii="Garamond" w:hAnsi="Garamond" w:cs="Times New Roman"/>
                <w:b/>
                <w:color w:val="000000" w:themeColor="text1"/>
              </w:rPr>
              <w:t>%</w:t>
            </w:r>
          </w:p>
        </w:tc>
        <w:tc>
          <w:tcPr>
            <w:tcW w:w="1901" w:type="dxa"/>
            <w:tcBorders>
              <w:top w:val="single" w:sz="18" w:space="0" w:color="auto"/>
            </w:tcBorders>
          </w:tcPr>
          <w:p w:rsidR="007359D5" w:rsidRPr="00A808A1" w:rsidRDefault="007359D5" w:rsidP="0010404A">
            <w:pPr>
              <w:spacing w:after="100" w:afterAutospacing="1"/>
              <w:jc w:val="center"/>
              <w:rPr>
                <w:rFonts w:ascii="Garamond" w:hAnsi="Garamond" w:cs="Times New Roman"/>
                <w:b/>
                <w:color w:val="000000" w:themeColor="text1"/>
              </w:rPr>
            </w:pPr>
            <w:r>
              <w:rPr>
                <w:rFonts w:ascii="Garamond" w:hAnsi="Garamond" w:cs="Times New Roman"/>
                <w:b/>
                <w:color w:val="000000" w:themeColor="text1"/>
              </w:rPr>
              <w:t>1</w:t>
            </w:r>
            <w:r w:rsidR="0056261C">
              <w:rPr>
                <w:rFonts w:ascii="Garamond" w:hAnsi="Garamond" w:cs="Times New Roman"/>
                <w:b/>
                <w:color w:val="000000" w:themeColor="text1"/>
              </w:rPr>
              <w:t>50</w:t>
            </w:r>
            <w:r>
              <w:rPr>
                <w:rFonts w:ascii="Garamond" w:hAnsi="Garamond" w:cs="Times New Roman"/>
                <w:b/>
                <w:color w:val="000000" w:themeColor="text1"/>
              </w:rPr>
              <w:t xml:space="preserve">/799 = </w:t>
            </w:r>
            <w:r w:rsidR="0056261C">
              <w:rPr>
                <w:rFonts w:ascii="Garamond" w:hAnsi="Garamond" w:cs="Times New Roman"/>
                <w:b/>
                <w:color w:val="000000" w:themeColor="text1"/>
              </w:rPr>
              <w:t>1</w:t>
            </w:r>
            <w:r w:rsidR="0010404A">
              <w:rPr>
                <w:rFonts w:ascii="Garamond" w:hAnsi="Garamond" w:cs="Times New Roman"/>
                <w:b/>
                <w:color w:val="000000" w:themeColor="text1"/>
              </w:rPr>
              <w:t>9</w:t>
            </w:r>
            <w:r w:rsidRPr="00A808A1">
              <w:rPr>
                <w:rFonts w:ascii="Garamond" w:hAnsi="Garamond" w:cs="Times New Roman"/>
                <w:b/>
                <w:color w:val="000000" w:themeColor="text1"/>
              </w:rPr>
              <w:t>%</w:t>
            </w:r>
          </w:p>
        </w:tc>
      </w:tr>
      <w:tr w:rsidR="007359D5" w:rsidTr="00A6540D">
        <w:tc>
          <w:tcPr>
            <w:tcW w:w="475" w:type="dxa"/>
          </w:tcPr>
          <w:p w:rsidR="007359D5" w:rsidRDefault="007359D5" w:rsidP="00A6540D">
            <w:pPr>
              <w:spacing w:after="100" w:afterAutospacing="1"/>
              <w:rPr>
                <w:rFonts w:ascii="Garamond" w:hAnsi="Garamond" w:cs="Times New Roman"/>
                <w:b/>
                <w:color w:val="000000" w:themeColor="text1"/>
              </w:rPr>
            </w:pPr>
            <w:r>
              <w:rPr>
                <w:rFonts w:ascii="Garamond" w:hAnsi="Garamond" w:cs="Times New Roman"/>
                <w:b/>
                <w:color w:val="000000" w:themeColor="text1"/>
              </w:rPr>
              <w:t>(7)</w:t>
            </w:r>
          </w:p>
        </w:tc>
        <w:tc>
          <w:tcPr>
            <w:tcW w:w="1775" w:type="dxa"/>
          </w:tcPr>
          <w:p w:rsidR="007359D5" w:rsidRDefault="007359D5" w:rsidP="00A6540D">
            <w:pPr>
              <w:spacing w:after="100" w:afterAutospacing="1"/>
              <w:rPr>
                <w:rFonts w:ascii="Garamond" w:hAnsi="Garamond" w:cs="Times New Roman"/>
                <w:b/>
                <w:color w:val="000000" w:themeColor="text1"/>
              </w:rPr>
            </w:pPr>
            <w:r>
              <w:rPr>
                <w:rFonts w:ascii="Garamond" w:hAnsi="Garamond" w:cs="Times New Roman"/>
                <w:b/>
                <w:color w:val="000000" w:themeColor="text1"/>
              </w:rPr>
              <w:t>Totals: 366 Days &amp; Beyond</w:t>
            </w:r>
          </w:p>
        </w:tc>
        <w:tc>
          <w:tcPr>
            <w:tcW w:w="1465" w:type="dxa"/>
          </w:tcPr>
          <w:p w:rsidR="007359D5" w:rsidRDefault="0056261C" w:rsidP="00A6540D">
            <w:pPr>
              <w:spacing w:after="100" w:afterAutospacing="1"/>
              <w:jc w:val="center"/>
              <w:rPr>
                <w:rFonts w:ascii="Garamond" w:hAnsi="Garamond" w:cs="Times New Roman"/>
                <w:b/>
                <w:color w:val="000000" w:themeColor="text1"/>
              </w:rPr>
            </w:pPr>
            <w:r>
              <w:rPr>
                <w:rFonts w:ascii="Garamond" w:hAnsi="Garamond" w:cs="Times New Roman"/>
                <w:b/>
                <w:color w:val="000000" w:themeColor="text1"/>
              </w:rPr>
              <w:t>136</w:t>
            </w:r>
          </w:p>
        </w:tc>
        <w:tc>
          <w:tcPr>
            <w:tcW w:w="1325" w:type="dxa"/>
          </w:tcPr>
          <w:p w:rsidR="007359D5" w:rsidRDefault="007359D5" w:rsidP="00A6540D">
            <w:pPr>
              <w:spacing w:after="100" w:afterAutospacing="1"/>
              <w:jc w:val="center"/>
              <w:rPr>
                <w:rFonts w:ascii="Garamond" w:hAnsi="Garamond" w:cs="Times New Roman"/>
                <w:b/>
                <w:color w:val="000000" w:themeColor="text1"/>
              </w:rPr>
            </w:pPr>
            <w:r>
              <w:rPr>
                <w:rFonts w:ascii="Garamond" w:hAnsi="Garamond" w:cs="Times New Roman"/>
                <w:b/>
                <w:color w:val="000000" w:themeColor="text1"/>
              </w:rPr>
              <w:t>292</w:t>
            </w:r>
          </w:p>
        </w:tc>
        <w:tc>
          <w:tcPr>
            <w:tcW w:w="1620" w:type="dxa"/>
          </w:tcPr>
          <w:p w:rsidR="007359D5" w:rsidRDefault="007359D5" w:rsidP="0056261C">
            <w:pPr>
              <w:spacing w:after="100" w:afterAutospacing="1"/>
              <w:jc w:val="center"/>
              <w:rPr>
                <w:rFonts w:ascii="Garamond" w:hAnsi="Garamond" w:cs="Times New Roman"/>
                <w:b/>
                <w:color w:val="000000" w:themeColor="text1"/>
              </w:rPr>
            </w:pPr>
            <w:r>
              <w:rPr>
                <w:rFonts w:ascii="Garamond" w:hAnsi="Garamond" w:cs="Times New Roman"/>
                <w:b/>
                <w:color w:val="000000" w:themeColor="text1"/>
              </w:rPr>
              <w:t>1</w:t>
            </w:r>
            <w:r w:rsidR="0056261C">
              <w:rPr>
                <w:rFonts w:ascii="Garamond" w:hAnsi="Garamond" w:cs="Times New Roman"/>
                <w:b/>
                <w:color w:val="000000" w:themeColor="text1"/>
              </w:rPr>
              <w:t>36</w:t>
            </w:r>
            <w:r>
              <w:rPr>
                <w:rFonts w:ascii="Garamond" w:hAnsi="Garamond" w:cs="Times New Roman"/>
                <w:b/>
                <w:color w:val="000000" w:themeColor="text1"/>
              </w:rPr>
              <w:t xml:space="preserve">/292 = </w:t>
            </w:r>
            <w:r w:rsidR="0056261C">
              <w:rPr>
                <w:rFonts w:ascii="Garamond" w:hAnsi="Garamond" w:cs="Times New Roman"/>
                <w:b/>
                <w:color w:val="000000" w:themeColor="text1"/>
              </w:rPr>
              <w:t>47</w:t>
            </w:r>
            <w:r>
              <w:rPr>
                <w:rFonts w:ascii="Garamond" w:hAnsi="Garamond" w:cs="Times New Roman"/>
                <w:b/>
                <w:color w:val="000000" w:themeColor="text1"/>
              </w:rPr>
              <w:t>%</w:t>
            </w:r>
          </w:p>
        </w:tc>
        <w:tc>
          <w:tcPr>
            <w:tcW w:w="1901" w:type="dxa"/>
          </w:tcPr>
          <w:p w:rsidR="007359D5" w:rsidRDefault="007359D5" w:rsidP="0056261C">
            <w:pPr>
              <w:spacing w:after="100" w:afterAutospacing="1"/>
              <w:jc w:val="center"/>
              <w:rPr>
                <w:rFonts w:ascii="Garamond" w:hAnsi="Garamond" w:cs="Times New Roman"/>
                <w:b/>
                <w:color w:val="000000" w:themeColor="text1"/>
              </w:rPr>
            </w:pPr>
            <w:r>
              <w:rPr>
                <w:rFonts w:ascii="Garamond" w:hAnsi="Garamond" w:cs="Times New Roman"/>
                <w:b/>
                <w:color w:val="000000" w:themeColor="text1"/>
              </w:rPr>
              <w:t>1</w:t>
            </w:r>
            <w:r w:rsidR="0056261C">
              <w:rPr>
                <w:rFonts w:ascii="Garamond" w:hAnsi="Garamond" w:cs="Times New Roman"/>
                <w:b/>
                <w:color w:val="000000" w:themeColor="text1"/>
              </w:rPr>
              <w:t>36</w:t>
            </w:r>
            <w:r>
              <w:rPr>
                <w:rFonts w:ascii="Garamond" w:hAnsi="Garamond" w:cs="Times New Roman"/>
                <w:b/>
                <w:color w:val="000000" w:themeColor="text1"/>
              </w:rPr>
              <w:t>/799 = 1</w:t>
            </w:r>
            <w:r w:rsidR="0056261C">
              <w:rPr>
                <w:rFonts w:ascii="Garamond" w:hAnsi="Garamond" w:cs="Times New Roman"/>
                <w:b/>
                <w:color w:val="000000" w:themeColor="text1"/>
              </w:rPr>
              <w:t>7</w:t>
            </w:r>
            <w:r>
              <w:rPr>
                <w:rFonts w:ascii="Garamond" w:hAnsi="Garamond" w:cs="Times New Roman"/>
                <w:b/>
                <w:color w:val="000000" w:themeColor="text1"/>
              </w:rPr>
              <w:t>%</w:t>
            </w:r>
          </w:p>
        </w:tc>
      </w:tr>
    </w:tbl>
    <w:p w:rsidR="00576BC5" w:rsidRDefault="00576BC5" w:rsidP="009B775B">
      <w:pPr>
        <w:rPr>
          <w:rFonts w:cs="Times New Roman"/>
          <w:color w:val="000000" w:themeColor="text1"/>
        </w:rPr>
      </w:pPr>
    </w:p>
    <w:p w:rsidR="009B775B" w:rsidRDefault="009B775B" w:rsidP="009B775B">
      <w:pPr>
        <w:rPr>
          <w:rFonts w:cs="Times New Roman"/>
          <w:color w:val="000000" w:themeColor="text1"/>
        </w:rPr>
      </w:pPr>
      <w:r>
        <w:rPr>
          <w:rFonts w:cs="Times New Roman"/>
          <w:color w:val="000000" w:themeColor="text1"/>
        </w:rPr>
        <w:t>Table</w:t>
      </w:r>
      <w:r w:rsidR="00A6540D">
        <w:rPr>
          <w:rFonts w:cs="Times New Roman"/>
          <w:color w:val="000000" w:themeColor="text1"/>
        </w:rPr>
        <w:t>s</w:t>
      </w:r>
      <w:r>
        <w:rPr>
          <w:rFonts w:cs="Times New Roman"/>
          <w:color w:val="000000" w:themeColor="text1"/>
        </w:rPr>
        <w:t xml:space="preserve"> III </w:t>
      </w:r>
      <w:r w:rsidR="00A6540D">
        <w:rPr>
          <w:rFonts w:cs="Times New Roman"/>
          <w:color w:val="000000" w:themeColor="text1"/>
        </w:rPr>
        <w:t xml:space="preserve">and IV </w:t>
      </w:r>
      <w:r>
        <w:rPr>
          <w:rFonts w:cs="Times New Roman"/>
          <w:color w:val="000000" w:themeColor="text1"/>
        </w:rPr>
        <w:t>demonstrate two things. First, a little more than half of those debtors remaining in chapter 11 after 345 days</w:t>
      </w:r>
      <w:r w:rsidR="0010404A">
        <w:rPr>
          <w:rFonts w:cs="Times New Roman"/>
          <w:color w:val="000000" w:themeColor="text1"/>
        </w:rPr>
        <w:t>,</w:t>
      </w:r>
      <w:r>
        <w:rPr>
          <w:rFonts w:cs="Times New Roman"/>
          <w:color w:val="000000" w:themeColor="text1"/>
        </w:rPr>
        <w:t xml:space="preserve"> and 1 year, from the order for relief were small business debtors. </w:t>
      </w:r>
      <w:r>
        <w:rPr>
          <w:rFonts w:cs="Times New Roman"/>
          <w:i/>
          <w:color w:val="000000" w:themeColor="text1"/>
        </w:rPr>
        <w:t xml:space="preserve">See </w:t>
      </w:r>
      <w:r w:rsidR="00A6540D">
        <w:rPr>
          <w:rFonts w:cs="Times New Roman"/>
          <w:color w:val="000000" w:themeColor="text1"/>
        </w:rPr>
        <w:t xml:space="preserve">Table III, </w:t>
      </w:r>
      <w:r>
        <w:rPr>
          <w:rFonts w:cs="Times New Roman"/>
          <w:color w:val="000000" w:themeColor="text1"/>
        </w:rPr>
        <w:t xml:space="preserve">Column D, Rows (6) &amp; (7).  </w:t>
      </w:r>
      <w:r w:rsidR="00A6540D">
        <w:rPr>
          <w:rFonts w:cs="Times New Roman"/>
          <w:color w:val="000000" w:themeColor="text1"/>
        </w:rPr>
        <w:t xml:space="preserve">When groups of affiliated debtors were taken into account, however, those percentages declined to 47%. </w:t>
      </w:r>
      <w:r w:rsidR="00A6540D">
        <w:rPr>
          <w:rFonts w:cs="Times New Roman"/>
          <w:i/>
          <w:color w:val="000000" w:themeColor="text1"/>
        </w:rPr>
        <w:t xml:space="preserve">See </w:t>
      </w:r>
      <w:r w:rsidR="00A6540D">
        <w:rPr>
          <w:rFonts w:cs="Times New Roman"/>
          <w:color w:val="000000" w:themeColor="text1"/>
        </w:rPr>
        <w:t xml:space="preserve">Table IV, Column D, Rows (6) &amp; (7).  </w:t>
      </w:r>
      <w:r>
        <w:rPr>
          <w:rFonts w:cs="Times New Roman"/>
          <w:color w:val="000000" w:themeColor="text1"/>
        </w:rPr>
        <w:t xml:space="preserve">Keep in mind, however, that the Lawton ABI study identified more than 60% of the ABI sample as being small business debtors, using the simplified definition proposed in </w:t>
      </w:r>
      <w:r w:rsidR="00BB49E1">
        <w:rPr>
          <w:rFonts w:cs="Times New Roman"/>
          <w:color w:val="000000" w:themeColor="text1"/>
        </w:rPr>
        <w:t>Part I</w:t>
      </w:r>
      <w:r>
        <w:rPr>
          <w:rFonts w:cs="Times New Roman"/>
          <w:color w:val="000000" w:themeColor="text1"/>
        </w:rPr>
        <w:t>.</w:t>
      </w:r>
      <w:r>
        <w:rPr>
          <w:rStyle w:val="FootnoteReference"/>
          <w:rFonts w:cs="Times New Roman"/>
          <w:color w:val="000000" w:themeColor="text1"/>
        </w:rPr>
        <w:footnoteReference w:id="62"/>
      </w:r>
      <w:r>
        <w:rPr>
          <w:rFonts w:cs="Times New Roman"/>
          <w:color w:val="000000" w:themeColor="text1"/>
        </w:rPr>
        <w:t xml:space="preserve"> Thus, it does not appear that small business debtors are disproportionately represented in the group of debtors remaining without disposition in chapter 11 at 345 days and 1 year, respectively, from the order for relief. </w:t>
      </w:r>
    </w:p>
    <w:p w:rsidR="009B775B" w:rsidRDefault="009B775B" w:rsidP="009B775B">
      <w:pPr>
        <w:rPr>
          <w:rFonts w:cs="Times New Roman"/>
          <w:color w:val="000000" w:themeColor="text1"/>
        </w:rPr>
      </w:pPr>
      <w:r>
        <w:rPr>
          <w:rFonts w:cs="Times New Roman"/>
          <w:color w:val="000000" w:themeColor="text1"/>
        </w:rPr>
        <w:t xml:space="preserve">Second, at Day 346 from the order for relief, there were 162 small business debtors remaining in chapter 11. </w:t>
      </w:r>
      <w:r>
        <w:rPr>
          <w:rFonts w:cs="Times New Roman"/>
          <w:i/>
          <w:color w:val="000000" w:themeColor="text1"/>
        </w:rPr>
        <w:t xml:space="preserve">See </w:t>
      </w:r>
      <w:r w:rsidR="00A6540D">
        <w:rPr>
          <w:rFonts w:cs="Times New Roman"/>
          <w:color w:val="000000" w:themeColor="text1"/>
        </w:rPr>
        <w:t xml:space="preserve">Table III, </w:t>
      </w:r>
      <w:r>
        <w:rPr>
          <w:rFonts w:cs="Times New Roman"/>
          <w:color w:val="000000" w:themeColor="text1"/>
        </w:rPr>
        <w:t xml:space="preserve">Column B, Row (6).  Those 162 debtors comprised approximately 20% of the original 799-case sample. </w:t>
      </w:r>
      <w:r w:rsidR="005E763C">
        <w:rPr>
          <w:rFonts w:cs="Times New Roman"/>
          <w:color w:val="000000" w:themeColor="text1"/>
        </w:rPr>
        <w:t>I</w:t>
      </w:r>
      <w:r w:rsidR="00A6540D">
        <w:rPr>
          <w:rFonts w:cs="Times New Roman"/>
          <w:color w:val="000000" w:themeColor="text1"/>
        </w:rPr>
        <w:t>f liabilities of affiliated debtors are included in the liability calculation</w:t>
      </w:r>
      <w:r w:rsidR="005E763C">
        <w:rPr>
          <w:rFonts w:cs="Times New Roman"/>
          <w:color w:val="000000" w:themeColor="text1"/>
        </w:rPr>
        <w:t>s</w:t>
      </w:r>
      <w:r w:rsidR="00A6540D">
        <w:rPr>
          <w:rFonts w:cs="Times New Roman"/>
          <w:color w:val="000000" w:themeColor="text1"/>
        </w:rPr>
        <w:t xml:space="preserve">, the number of “small business debtors” remaining in chapter 11 more than </w:t>
      </w:r>
      <w:r w:rsidR="005E763C">
        <w:rPr>
          <w:rFonts w:cs="Times New Roman"/>
          <w:color w:val="000000" w:themeColor="text1"/>
        </w:rPr>
        <w:t>345 days</w:t>
      </w:r>
      <w:r w:rsidR="00A6540D">
        <w:rPr>
          <w:rFonts w:cs="Times New Roman"/>
          <w:color w:val="000000" w:themeColor="text1"/>
        </w:rPr>
        <w:t xml:space="preserve"> drops to 150. </w:t>
      </w:r>
      <w:r w:rsidR="00A6540D">
        <w:rPr>
          <w:rFonts w:cs="Times New Roman"/>
          <w:i/>
          <w:color w:val="000000" w:themeColor="text1"/>
        </w:rPr>
        <w:t xml:space="preserve">See </w:t>
      </w:r>
      <w:r w:rsidR="00A6540D">
        <w:rPr>
          <w:rFonts w:cs="Times New Roman"/>
          <w:color w:val="000000" w:themeColor="text1"/>
        </w:rPr>
        <w:t xml:space="preserve">Table IV, Column B, Row (6).  Therefore, whether the measure of liabilities is limited to those of </w:t>
      </w:r>
      <w:r w:rsidR="00A6540D">
        <w:rPr>
          <w:rFonts w:cs="Times New Roman"/>
          <w:i/>
          <w:color w:val="000000" w:themeColor="text1"/>
        </w:rPr>
        <w:t xml:space="preserve">each </w:t>
      </w:r>
      <w:r w:rsidR="00A6540D">
        <w:rPr>
          <w:rFonts w:cs="Times New Roman"/>
          <w:color w:val="000000" w:themeColor="text1"/>
        </w:rPr>
        <w:t xml:space="preserve">debtor in the sample or aggregated to include those debtors filing as part of a group of affiliated debtors, </w:t>
      </w:r>
      <w:r>
        <w:rPr>
          <w:rFonts w:cs="Times New Roman"/>
          <w:color w:val="000000" w:themeColor="text1"/>
        </w:rPr>
        <w:t xml:space="preserve">pre-BAPCPA, when no plan-proposal or plan-confirmation deadlines were in place, </w:t>
      </w:r>
      <w:r w:rsidR="00A6540D">
        <w:rPr>
          <w:rFonts w:cs="Times New Roman"/>
          <w:color w:val="000000" w:themeColor="text1"/>
        </w:rPr>
        <w:lastRenderedPageBreak/>
        <w:t>somewhere between 19-20%</w:t>
      </w:r>
      <w:r>
        <w:rPr>
          <w:rFonts w:cs="Times New Roman"/>
          <w:color w:val="000000" w:themeColor="text1"/>
        </w:rPr>
        <w:t xml:space="preserve"> of the chapter 11 cases were small business debtors that failed to reach disposition within 345 days.  </w:t>
      </w:r>
    </w:p>
    <w:p w:rsidR="0010404A" w:rsidRDefault="0010404A" w:rsidP="0010404A">
      <w:pPr>
        <w:rPr>
          <w:rFonts w:cs="Times New Roman"/>
          <w:color w:val="000000" w:themeColor="text1"/>
        </w:rPr>
      </w:pPr>
      <w:r>
        <w:rPr>
          <w:rFonts w:cs="Times New Roman"/>
          <w:color w:val="000000" w:themeColor="text1"/>
        </w:rPr>
        <w:t>Were these small business debtors languishing in chapter 11? The short answer is “no.” Tables V and VI provide data about the number of small business debtors proposing and confirming plans more than 34</w:t>
      </w:r>
      <w:r w:rsidR="005E763C">
        <w:rPr>
          <w:rFonts w:cs="Times New Roman"/>
          <w:color w:val="000000" w:themeColor="text1"/>
        </w:rPr>
        <w:t>5</w:t>
      </w:r>
      <w:r>
        <w:rPr>
          <w:rFonts w:cs="Times New Roman"/>
          <w:color w:val="000000" w:themeColor="text1"/>
        </w:rPr>
        <w:t xml:space="preserve"> days from the order for relief.  Table V’s data is based on liability totals for </w:t>
      </w:r>
      <w:r>
        <w:rPr>
          <w:rFonts w:cs="Times New Roman"/>
          <w:i/>
          <w:color w:val="000000" w:themeColor="text1"/>
        </w:rPr>
        <w:t xml:space="preserve">each </w:t>
      </w:r>
      <w:r>
        <w:rPr>
          <w:rFonts w:cs="Times New Roman"/>
          <w:color w:val="000000" w:themeColor="text1"/>
        </w:rPr>
        <w:t>debtor in the random sample without aggregating liabilities of affiliated entities. Table VI, on the other hand, includes affiliate liabilities in liability totals for those debtors comprising a group of affiliated debtors. Rows (1) through (5)’s data in each table is for the time period specified. Cumulative totals are provided in Rows (6) &amp; (7).</w:t>
      </w:r>
    </w:p>
    <w:p w:rsidR="0010404A" w:rsidRDefault="0010404A" w:rsidP="0010404A">
      <w:pPr>
        <w:rPr>
          <w:rFonts w:cs="Times New Roman"/>
          <w:color w:val="000000" w:themeColor="text1"/>
        </w:rPr>
      </w:pPr>
      <w:r>
        <w:rPr>
          <w:rFonts w:cs="Times New Roman"/>
          <w:color w:val="000000" w:themeColor="text1"/>
        </w:rPr>
        <w:t xml:space="preserve">Of the small business debtors remaining without disposition after 345 days, at least one plan was proposed in 71% of the cases.  </w:t>
      </w:r>
      <w:r>
        <w:rPr>
          <w:rFonts w:cs="Times New Roman"/>
          <w:i/>
          <w:color w:val="000000" w:themeColor="text1"/>
        </w:rPr>
        <w:t xml:space="preserve">See </w:t>
      </w:r>
      <w:r>
        <w:rPr>
          <w:rFonts w:cs="Times New Roman"/>
          <w:color w:val="000000" w:themeColor="text1"/>
        </w:rPr>
        <w:t xml:space="preserve">Table V, Column E, Row (6); Table VI, Column E, Row (6).  The plan proposal rate increases, albeit slightly, to 73% if the time frame is moved out 20 days to one year’s time from the order for relief. </w:t>
      </w:r>
      <w:r>
        <w:rPr>
          <w:rFonts w:cs="Times New Roman"/>
          <w:i/>
          <w:color w:val="000000" w:themeColor="text1"/>
        </w:rPr>
        <w:t xml:space="preserve">See </w:t>
      </w:r>
      <w:r>
        <w:rPr>
          <w:rFonts w:cs="Times New Roman"/>
          <w:color w:val="000000" w:themeColor="text1"/>
        </w:rPr>
        <w:t xml:space="preserve">Tables V &amp; VI, Column E, Row (7). </w:t>
      </w:r>
    </w:p>
    <w:p w:rsidR="009B775B" w:rsidRDefault="00A6540D" w:rsidP="0010404A">
      <w:pPr>
        <w:spacing w:after="0"/>
        <w:jc w:val="center"/>
        <w:rPr>
          <w:rFonts w:cs="Times New Roman"/>
          <w:b/>
          <w:smallCaps/>
          <w:color w:val="000000" w:themeColor="text1"/>
        </w:rPr>
      </w:pPr>
      <w:r>
        <w:rPr>
          <w:rFonts w:cs="Times New Roman"/>
          <w:b/>
          <w:smallCaps/>
          <w:color w:val="000000" w:themeColor="text1"/>
        </w:rPr>
        <w:t xml:space="preserve">Table </w:t>
      </w:r>
      <w:r w:rsidR="009B775B">
        <w:rPr>
          <w:rFonts w:cs="Times New Roman"/>
          <w:b/>
          <w:smallCaps/>
          <w:color w:val="000000" w:themeColor="text1"/>
        </w:rPr>
        <w:t>V: 346 Days and Beyond – Small Business Plan-Proposal</w:t>
      </w:r>
    </w:p>
    <w:p w:rsidR="009B775B" w:rsidRPr="001837D6" w:rsidRDefault="009B775B" w:rsidP="0010404A">
      <w:pPr>
        <w:spacing w:after="0"/>
        <w:jc w:val="center"/>
        <w:rPr>
          <w:rFonts w:cs="Times New Roman"/>
          <w:b/>
          <w:smallCaps/>
          <w:color w:val="000000" w:themeColor="text1"/>
        </w:rPr>
      </w:pPr>
      <w:r>
        <w:rPr>
          <w:rFonts w:cs="Times New Roman"/>
          <w:b/>
          <w:smallCaps/>
          <w:color w:val="000000" w:themeColor="text1"/>
        </w:rPr>
        <w:t>and Plan-Confirmation Rates</w:t>
      </w:r>
    </w:p>
    <w:tbl>
      <w:tblPr>
        <w:tblStyle w:val="TableGrid"/>
        <w:tblW w:w="9018" w:type="dxa"/>
        <w:tblLayout w:type="fixed"/>
        <w:tblLook w:val="04A0" w:firstRow="1" w:lastRow="0" w:firstColumn="1" w:lastColumn="0" w:noHBand="0" w:noVBand="1"/>
      </w:tblPr>
      <w:tblGrid>
        <w:gridCol w:w="558"/>
        <w:gridCol w:w="1530"/>
        <w:gridCol w:w="1009"/>
        <w:gridCol w:w="1158"/>
        <w:gridCol w:w="1253"/>
        <w:gridCol w:w="1620"/>
        <w:gridCol w:w="1890"/>
      </w:tblGrid>
      <w:tr w:rsidR="009B775B" w:rsidTr="00A6540D">
        <w:tc>
          <w:tcPr>
            <w:tcW w:w="558" w:type="dxa"/>
          </w:tcPr>
          <w:p w:rsidR="009B775B" w:rsidRDefault="009B775B" w:rsidP="00A6540D">
            <w:pPr>
              <w:jc w:val="center"/>
              <w:rPr>
                <w:rFonts w:ascii="Garamond" w:hAnsi="Garamond" w:cs="Times New Roman"/>
                <w:b/>
                <w:smallCaps/>
                <w:color w:val="000000" w:themeColor="text1"/>
              </w:rPr>
            </w:pPr>
          </w:p>
        </w:tc>
        <w:tc>
          <w:tcPr>
            <w:tcW w:w="1530" w:type="dxa"/>
          </w:tcPr>
          <w:p w:rsidR="009B775B" w:rsidRDefault="009B775B" w:rsidP="00A6540D">
            <w:pPr>
              <w:jc w:val="center"/>
              <w:rPr>
                <w:rFonts w:ascii="Garamond" w:hAnsi="Garamond" w:cs="Times New Roman"/>
                <w:color w:val="000000" w:themeColor="text1"/>
              </w:rPr>
            </w:pPr>
            <w:r>
              <w:rPr>
                <w:rFonts w:ascii="Garamond" w:hAnsi="Garamond" w:cs="Times New Roman"/>
                <w:b/>
                <w:smallCaps/>
                <w:color w:val="000000" w:themeColor="text1"/>
              </w:rPr>
              <w:t>A</w:t>
            </w:r>
          </w:p>
        </w:tc>
        <w:tc>
          <w:tcPr>
            <w:tcW w:w="1009" w:type="dxa"/>
          </w:tcPr>
          <w:p w:rsidR="009B775B" w:rsidRPr="00430C25" w:rsidRDefault="009B775B" w:rsidP="00A6540D">
            <w:pPr>
              <w:jc w:val="center"/>
              <w:rPr>
                <w:rFonts w:ascii="Garamond" w:hAnsi="Garamond" w:cs="Times New Roman"/>
                <w:b/>
                <w:color w:val="000000" w:themeColor="text1"/>
              </w:rPr>
            </w:pPr>
            <w:r>
              <w:rPr>
                <w:rFonts w:ascii="Garamond" w:hAnsi="Garamond" w:cs="Times New Roman"/>
                <w:b/>
                <w:color w:val="000000" w:themeColor="text1"/>
              </w:rPr>
              <w:t>B</w:t>
            </w:r>
          </w:p>
        </w:tc>
        <w:tc>
          <w:tcPr>
            <w:tcW w:w="1158" w:type="dxa"/>
          </w:tcPr>
          <w:p w:rsidR="009B775B" w:rsidRPr="00430C25" w:rsidRDefault="009B775B" w:rsidP="00A6540D">
            <w:pPr>
              <w:jc w:val="center"/>
              <w:rPr>
                <w:rFonts w:ascii="Garamond" w:hAnsi="Garamond" w:cs="Times New Roman"/>
                <w:b/>
                <w:color w:val="000000" w:themeColor="text1"/>
              </w:rPr>
            </w:pPr>
            <w:r>
              <w:rPr>
                <w:rFonts w:ascii="Garamond" w:hAnsi="Garamond" w:cs="Times New Roman"/>
                <w:b/>
                <w:color w:val="000000" w:themeColor="text1"/>
              </w:rPr>
              <w:t>C</w:t>
            </w:r>
          </w:p>
        </w:tc>
        <w:tc>
          <w:tcPr>
            <w:tcW w:w="1253" w:type="dxa"/>
          </w:tcPr>
          <w:p w:rsidR="009B775B" w:rsidRPr="00430C25" w:rsidRDefault="009B775B" w:rsidP="00A6540D">
            <w:pPr>
              <w:jc w:val="center"/>
              <w:rPr>
                <w:rFonts w:ascii="Garamond" w:hAnsi="Garamond" w:cs="Times New Roman"/>
                <w:b/>
                <w:color w:val="000000" w:themeColor="text1"/>
              </w:rPr>
            </w:pPr>
            <w:r>
              <w:rPr>
                <w:rFonts w:ascii="Garamond" w:hAnsi="Garamond" w:cs="Times New Roman"/>
                <w:b/>
                <w:color w:val="000000" w:themeColor="text1"/>
              </w:rPr>
              <w:t>D</w:t>
            </w:r>
          </w:p>
        </w:tc>
        <w:tc>
          <w:tcPr>
            <w:tcW w:w="1620" w:type="dxa"/>
          </w:tcPr>
          <w:p w:rsidR="009B775B" w:rsidRPr="00430C25" w:rsidRDefault="009B775B" w:rsidP="00A6540D">
            <w:pPr>
              <w:jc w:val="center"/>
              <w:rPr>
                <w:rFonts w:ascii="Garamond" w:hAnsi="Garamond" w:cs="Times New Roman"/>
                <w:b/>
                <w:color w:val="000000" w:themeColor="text1"/>
              </w:rPr>
            </w:pPr>
            <w:r>
              <w:rPr>
                <w:rFonts w:ascii="Garamond" w:hAnsi="Garamond" w:cs="Times New Roman"/>
                <w:b/>
                <w:color w:val="000000" w:themeColor="text1"/>
              </w:rPr>
              <w:t>E</w:t>
            </w:r>
          </w:p>
        </w:tc>
        <w:tc>
          <w:tcPr>
            <w:tcW w:w="1890" w:type="dxa"/>
          </w:tcPr>
          <w:p w:rsidR="009B775B" w:rsidRPr="00430C25" w:rsidRDefault="009B775B" w:rsidP="00A6540D">
            <w:pPr>
              <w:jc w:val="center"/>
              <w:rPr>
                <w:rFonts w:ascii="Garamond" w:hAnsi="Garamond" w:cs="Times New Roman"/>
                <w:b/>
                <w:color w:val="000000" w:themeColor="text1"/>
              </w:rPr>
            </w:pPr>
            <w:r>
              <w:rPr>
                <w:rFonts w:ascii="Garamond" w:hAnsi="Garamond" w:cs="Times New Roman"/>
                <w:b/>
                <w:color w:val="000000" w:themeColor="text1"/>
              </w:rPr>
              <w:t>F</w:t>
            </w:r>
          </w:p>
        </w:tc>
      </w:tr>
      <w:tr w:rsidR="009B775B" w:rsidTr="00A6540D">
        <w:tc>
          <w:tcPr>
            <w:tcW w:w="558" w:type="dxa"/>
          </w:tcPr>
          <w:p w:rsidR="009B775B" w:rsidRDefault="009B775B" w:rsidP="00A6540D">
            <w:pPr>
              <w:jc w:val="center"/>
              <w:rPr>
                <w:rFonts w:ascii="Garamond" w:hAnsi="Garamond" w:cs="Times New Roman"/>
                <w:b/>
                <w:smallCaps/>
                <w:color w:val="000000" w:themeColor="text1"/>
              </w:rPr>
            </w:pPr>
          </w:p>
        </w:tc>
        <w:tc>
          <w:tcPr>
            <w:tcW w:w="1530" w:type="dxa"/>
          </w:tcPr>
          <w:p w:rsidR="009B775B" w:rsidRDefault="009B775B" w:rsidP="00A6540D">
            <w:pPr>
              <w:jc w:val="center"/>
              <w:rPr>
                <w:rFonts w:ascii="Garamond" w:hAnsi="Garamond" w:cs="Times New Roman"/>
                <w:color w:val="000000" w:themeColor="text1"/>
              </w:rPr>
            </w:pPr>
            <w:r>
              <w:rPr>
                <w:rFonts w:ascii="Garamond" w:hAnsi="Garamond" w:cs="Times New Roman"/>
                <w:b/>
                <w:smallCaps/>
                <w:color w:val="000000" w:themeColor="text1"/>
              </w:rPr>
              <w:t>T</w:t>
            </w:r>
            <w:r>
              <w:rPr>
                <w:rFonts w:ascii="Garamond" w:hAnsi="Garamond" w:cs="Times New Roman"/>
                <w:b/>
                <w:color w:val="000000" w:themeColor="text1"/>
              </w:rPr>
              <w:t>ime to Disposition</w:t>
            </w:r>
          </w:p>
        </w:tc>
        <w:tc>
          <w:tcPr>
            <w:tcW w:w="1009" w:type="dxa"/>
          </w:tcPr>
          <w:p w:rsidR="009B775B" w:rsidRPr="00430C25" w:rsidRDefault="009B775B" w:rsidP="00A6540D">
            <w:pPr>
              <w:jc w:val="center"/>
              <w:rPr>
                <w:rFonts w:ascii="Garamond" w:hAnsi="Garamond" w:cs="Times New Roman"/>
                <w:b/>
                <w:color w:val="000000" w:themeColor="text1"/>
              </w:rPr>
            </w:pPr>
            <w:r>
              <w:rPr>
                <w:rFonts w:ascii="Garamond" w:hAnsi="Garamond" w:cs="Times New Roman"/>
                <w:b/>
                <w:color w:val="000000" w:themeColor="text1"/>
              </w:rPr>
              <w:t>No. of SB</w:t>
            </w:r>
            <w:r>
              <w:rPr>
                <w:rFonts w:ascii="Garamond" w:hAnsi="Garamond" w:cs="Times New Roman"/>
                <w:b/>
                <w:color w:val="000000" w:themeColor="text1"/>
                <w:vertAlign w:val="superscript"/>
              </w:rPr>
              <w:t>*</w:t>
            </w:r>
            <w:r>
              <w:rPr>
                <w:rFonts w:ascii="Garamond" w:hAnsi="Garamond" w:cs="Times New Roman"/>
                <w:b/>
                <w:color w:val="000000" w:themeColor="text1"/>
              </w:rPr>
              <w:t xml:space="preserve"> Cases</w:t>
            </w:r>
          </w:p>
        </w:tc>
        <w:tc>
          <w:tcPr>
            <w:tcW w:w="1158" w:type="dxa"/>
          </w:tcPr>
          <w:p w:rsidR="009B775B" w:rsidRPr="00430C25" w:rsidRDefault="009B775B" w:rsidP="00A6540D">
            <w:pPr>
              <w:jc w:val="center"/>
              <w:rPr>
                <w:rFonts w:ascii="Garamond" w:hAnsi="Garamond" w:cs="Times New Roman"/>
                <w:b/>
                <w:color w:val="000000" w:themeColor="text1"/>
              </w:rPr>
            </w:pPr>
            <w:r w:rsidRPr="00430C25">
              <w:rPr>
                <w:rFonts w:ascii="Garamond" w:hAnsi="Garamond" w:cs="Times New Roman"/>
                <w:b/>
                <w:color w:val="000000" w:themeColor="text1"/>
              </w:rPr>
              <w:t>N</w:t>
            </w:r>
            <w:r>
              <w:rPr>
                <w:rFonts w:ascii="Garamond" w:hAnsi="Garamond" w:cs="Times New Roman"/>
                <w:b/>
                <w:color w:val="000000" w:themeColor="text1"/>
              </w:rPr>
              <w:t>o.</w:t>
            </w:r>
            <w:r w:rsidRPr="00430C25">
              <w:rPr>
                <w:rFonts w:ascii="Garamond" w:hAnsi="Garamond" w:cs="Times New Roman"/>
                <w:b/>
                <w:color w:val="000000" w:themeColor="text1"/>
              </w:rPr>
              <w:t xml:space="preserve"> proposing plans</w:t>
            </w:r>
          </w:p>
        </w:tc>
        <w:tc>
          <w:tcPr>
            <w:tcW w:w="1253" w:type="dxa"/>
          </w:tcPr>
          <w:p w:rsidR="009B775B" w:rsidRPr="00430C25" w:rsidRDefault="009B775B" w:rsidP="00A6540D">
            <w:pPr>
              <w:jc w:val="center"/>
              <w:rPr>
                <w:rFonts w:ascii="Garamond" w:hAnsi="Garamond" w:cs="Times New Roman"/>
                <w:b/>
                <w:color w:val="000000" w:themeColor="text1"/>
              </w:rPr>
            </w:pPr>
            <w:r>
              <w:rPr>
                <w:rFonts w:ascii="Garamond" w:hAnsi="Garamond" w:cs="Times New Roman"/>
                <w:b/>
                <w:color w:val="000000" w:themeColor="text1"/>
              </w:rPr>
              <w:t xml:space="preserve">No. of  </w:t>
            </w:r>
            <w:r w:rsidRPr="00430C25">
              <w:rPr>
                <w:rFonts w:ascii="Garamond" w:hAnsi="Garamond" w:cs="Times New Roman"/>
                <w:b/>
                <w:color w:val="000000" w:themeColor="text1"/>
              </w:rPr>
              <w:t>confirmed plans</w:t>
            </w:r>
          </w:p>
        </w:tc>
        <w:tc>
          <w:tcPr>
            <w:tcW w:w="1620" w:type="dxa"/>
          </w:tcPr>
          <w:p w:rsidR="009B775B" w:rsidRPr="00430C25" w:rsidRDefault="009B775B" w:rsidP="00A6540D">
            <w:pPr>
              <w:jc w:val="center"/>
              <w:rPr>
                <w:rFonts w:ascii="Garamond" w:hAnsi="Garamond" w:cs="Times New Roman"/>
                <w:b/>
                <w:color w:val="000000" w:themeColor="text1"/>
              </w:rPr>
            </w:pPr>
            <w:r w:rsidRPr="00430C25">
              <w:rPr>
                <w:rFonts w:ascii="Garamond" w:hAnsi="Garamond" w:cs="Times New Roman"/>
                <w:b/>
                <w:color w:val="000000" w:themeColor="text1"/>
              </w:rPr>
              <w:t>% proposing plan</w:t>
            </w:r>
            <w:r>
              <w:rPr>
                <w:rFonts w:ascii="Garamond" w:hAnsi="Garamond" w:cs="Times New Roman"/>
                <w:b/>
                <w:color w:val="000000" w:themeColor="text1"/>
              </w:rPr>
              <w:t>s</w:t>
            </w:r>
          </w:p>
        </w:tc>
        <w:tc>
          <w:tcPr>
            <w:tcW w:w="1890" w:type="dxa"/>
          </w:tcPr>
          <w:p w:rsidR="009B775B" w:rsidRPr="00430C25" w:rsidRDefault="009B775B" w:rsidP="00A6540D">
            <w:pPr>
              <w:jc w:val="center"/>
              <w:rPr>
                <w:rFonts w:ascii="Garamond" w:hAnsi="Garamond" w:cs="Times New Roman"/>
                <w:b/>
                <w:color w:val="000000" w:themeColor="text1"/>
              </w:rPr>
            </w:pPr>
            <w:r w:rsidRPr="00430C25">
              <w:rPr>
                <w:rFonts w:ascii="Garamond" w:hAnsi="Garamond" w:cs="Times New Roman"/>
                <w:b/>
                <w:color w:val="000000" w:themeColor="text1"/>
              </w:rPr>
              <w:t>%</w:t>
            </w:r>
            <w:r>
              <w:rPr>
                <w:rFonts w:ascii="Garamond" w:hAnsi="Garamond" w:cs="Times New Roman"/>
                <w:b/>
                <w:color w:val="000000" w:themeColor="text1"/>
              </w:rPr>
              <w:t xml:space="preserve"> of all SB  confirming </w:t>
            </w:r>
            <w:r w:rsidRPr="00430C25">
              <w:rPr>
                <w:rFonts w:ascii="Garamond" w:hAnsi="Garamond" w:cs="Times New Roman"/>
                <w:b/>
                <w:color w:val="000000" w:themeColor="text1"/>
              </w:rPr>
              <w:t>plan</w:t>
            </w:r>
            <w:r>
              <w:rPr>
                <w:rFonts w:ascii="Garamond" w:hAnsi="Garamond" w:cs="Times New Roman"/>
                <w:b/>
                <w:color w:val="000000" w:themeColor="text1"/>
              </w:rPr>
              <w:t>s</w:t>
            </w:r>
          </w:p>
        </w:tc>
      </w:tr>
      <w:tr w:rsidR="009B775B" w:rsidTr="00A6540D">
        <w:tc>
          <w:tcPr>
            <w:tcW w:w="558" w:type="dxa"/>
          </w:tcPr>
          <w:p w:rsidR="009B775B" w:rsidRPr="00CA70F8" w:rsidRDefault="009B775B" w:rsidP="00A6540D">
            <w:pPr>
              <w:jc w:val="center"/>
              <w:rPr>
                <w:rFonts w:ascii="Garamond" w:hAnsi="Garamond" w:cs="Times New Roman"/>
                <w:smallCaps/>
                <w:color w:val="000000" w:themeColor="text1"/>
              </w:rPr>
            </w:pPr>
            <w:r>
              <w:rPr>
                <w:rFonts w:ascii="Garamond" w:hAnsi="Garamond" w:cs="Times New Roman"/>
                <w:smallCaps/>
                <w:color w:val="000000" w:themeColor="text1"/>
              </w:rPr>
              <w:t>(1)</w:t>
            </w:r>
          </w:p>
        </w:tc>
        <w:tc>
          <w:tcPr>
            <w:tcW w:w="1530" w:type="dxa"/>
          </w:tcPr>
          <w:p w:rsidR="009B775B" w:rsidRPr="00CA70F8" w:rsidRDefault="009B775B" w:rsidP="00A6540D">
            <w:pPr>
              <w:jc w:val="center"/>
              <w:rPr>
                <w:rFonts w:ascii="Garamond" w:hAnsi="Garamond" w:cs="Times New Roman"/>
                <w:color w:val="000000" w:themeColor="text1"/>
              </w:rPr>
            </w:pPr>
            <w:r>
              <w:rPr>
                <w:rFonts w:ascii="Garamond" w:hAnsi="Garamond" w:cs="Times New Roman"/>
                <w:smallCaps/>
                <w:color w:val="000000" w:themeColor="text1"/>
              </w:rPr>
              <w:t xml:space="preserve">346 </w:t>
            </w:r>
            <w:r>
              <w:rPr>
                <w:rFonts w:ascii="Garamond" w:hAnsi="Garamond" w:cs="Times New Roman"/>
                <w:color w:val="000000" w:themeColor="text1"/>
              </w:rPr>
              <w:t>Days to 1 Year</w:t>
            </w:r>
          </w:p>
        </w:tc>
        <w:tc>
          <w:tcPr>
            <w:tcW w:w="1009" w:type="dxa"/>
          </w:tcPr>
          <w:p w:rsidR="009B775B" w:rsidRDefault="009B775B" w:rsidP="00A6540D">
            <w:pPr>
              <w:jc w:val="center"/>
              <w:rPr>
                <w:rFonts w:ascii="Garamond" w:hAnsi="Garamond" w:cs="Times New Roman"/>
                <w:b/>
                <w:color w:val="000000" w:themeColor="text1"/>
              </w:rPr>
            </w:pPr>
            <w:r w:rsidRPr="00EF359C">
              <w:rPr>
                <w:rFonts w:ascii="Garamond" w:hAnsi="Garamond" w:cs="Times New Roman"/>
                <w:color w:val="000000" w:themeColor="text1"/>
              </w:rPr>
              <w:t>1</w:t>
            </w:r>
            <w:r>
              <w:rPr>
                <w:rFonts w:ascii="Garamond" w:hAnsi="Garamond" w:cs="Times New Roman"/>
                <w:color w:val="000000" w:themeColor="text1"/>
              </w:rPr>
              <w:t>4</w:t>
            </w:r>
          </w:p>
        </w:tc>
        <w:tc>
          <w:tcPr>
            <w:tcW w:w="1158" w:type="dxa"/>
          </w:tcPr>
          <w:p w:rsidR="009B775B" w:rsidRPr="00CA70F8" w:rsidRDefault="009B775B" w:rsidP="00A6540D">
            <w:pPr>
              <w:jc w:val="center"/>
              <w:rPr>
                <w:rFonts w:ascii="Garamond" w:hAnsi="Garamond" w:cs="Times New Roman"/>
                <w:color w:val="000000" w:themeColor="text1"/>
              </w:rPr>
            </w:pPr>
            <w:r>
              <w:rPr>
                <w:rFonts w:ascii="Garamond" w:hAnsi="Garamond" w:cs="Times New Roman"/>
                <w:color w:val="000000" w:themeColor="text1"/>
              </w:rPr>
              <w:t>7</w:t>
            </w:r>
          </w:p>
        </w:tc>
        <w:tc>
          <w:tcPr>
            <w:tcW w:w="1253" w:type="dxa"/>
          </w:tcPr>
          <w:p w:rsidR="009B775B" w:rsidRPr="00CA70F8" w:rsidRDefault="009B775B" w:rsidP="00A6540D">
            <w:pPr>
              <w:jc w:val="center"/>
              <w:rPr>
                <w:rFonts w:ascii="Garamond" w:hAnsi="Garamond" w:cs="Times New Roman"/>
                <w:color w:val="000000" w:themeColor="text1"/>
              </w:rPr>
            </w:pPr>
            <w:r w:rsidRPr="00CA70F8">
              <w:rPr>
                <w:rFonts w:ascii="Garamond" w:hAnsi="Garamond" w:cs="Times New Roman"/>
                <w:color w:val="000000" w:themeColor="text1"/>
              </w:rPr>
              <w:t>1</w:t>
            </w:r>
          </w:p>
        </w:tc>
        <w:tc>
          <w:tcPr>
            <w:tcW w:w="1620" w:type="dxa"/>
          </w:tcPr>
          <w:p w:rsidR="009B775B" w:rsidRPr="00CA70F8" w:rsidRDefault="009B775B" w:rsidP="00A6540D">
            <w:pPr>
              <w:jc w:val="center"/>
              <w:rPr>
                <w:rFonts w:ascii="Garamond" w:hAnsi="Garamond" w:cs="Times New Roman"/>
                <w:color w:val="000000" w:themeColor="text1"/>
              </w:rPr>
            </w:pPr>
            <w:r>
              <w:rPr>
                <w:rFonts w:ascii="Garamond" w:hAnsi="Garamond" w:cs="Times New Roman"/>
                <w:color w:val="000000" w:themeColor="text1"/>
              </w:rPr>
              <w:t>7</w:t>
            </w:r>
            <w:r w:rsidRPr="00CA70F8">
              <w:rPr>
                <w:rFonts w:ascii="Garamond" w:hAnsi="Garamond" w:cs="Times New Roman"/>
                <w:color w:val="000000" w:themeColor="text1"/>
              </w:rPr>
              <w:t>/1</w:t>
            </w:r>
            <w:r>
              <w:rPr>
                <w:rFonts w:ascii="Garamond" w:hAnsi="Garamond" w:cs="Times New Roman"/>
                <w:color w:val="000000" w:themeColor="text1"/>
              </w:rPr>
              <w:t>4</w:t>
            </w:r>
            <w:r w:rsidRPr="00CA70F8">
              <w:rPr>
                <w:rFonts w:ascii="Garamond" w:hAnsi="Garamond" w:cs="Times New Roman"/>
                <w:color w:val="000000" w:themeColor="text1"/>
              </w:rPr>
              <w:t xml:space="preserve"> = </w:t>
            </w:r>
            <w:r>
              <w:rPr>
                <w:rFonts w:ascii="Garamond" w:hAnsi="Garamond" w:cs="Times New Roman"/>
                <w:color w:val="000000" w:themeColor="text1"/>
              </w:rPr>
              <w:t>50</w:t>
            </w:r>
            <w:r w:rsidRPr="00CA70F8">
              <w:rPr>
                <w:rFonts w:ascii="Garamond" w:hAnsi="Garamond" w:cs="Times New Roman"/>
                <w:color w:val="000000" w:themeColor="text1"/>
              </w:rPr>
              <w:t>%</w:t>
            </w:r>
          </w:p>
        </w:tc>
        <w:tc>
          <w:tcPr>
            <w:tcW w:w="1890" w:type="dxa"/>
          </w:tcPr>
          <w:p w:rsidR="009B775B" w:rsidRPr="00CA70F8" w:rsidRDefault="009B775B" w:rsidP="00A6540D">
            <w:pPr>
              <w:jc w:val="center"/>
              <w:rPr>
                <w:rFonts w:ascii="Garamond" w:hAnsi="Garamond" w:cs="Times New Roman"/>
                <w:color w:val="000000" w:themeColor="text1"/>
              </w:rPr>
            </w:pPr>
            <w:r w:rsidRPr="00CA70F8">
              <w:rPr>
                <w:rFonts w:ascii="Garamond" w:hAnsi="Garamond" w:cs="Times New Roman"/>
                <w:color w:val="000000" w:themeColor="text1"/>
              </w:rPr>
              <w:t>1/1</w:t>
            </w:r>
            <w:r>
              <w:rPr>
                <w:rFonts w:ascii="Garamond" w:hAnsi="Garamond" w:cs="Times New Roman"/>
                <w:color w:val="000000" w:themeColor="text1"/>
              </w:rPr>
              <w:t>4</w:t>
            </w:r>
            <w:r w:rsidRPr="00CA70F8">
              <w:rPr>
                <w:rFonts w:ascii="Garamond" w:hAnsi="Garamond" w:cs="Times New Roman"/>
                <w:color w:val="000000" w:themeColor="text1"/>
              </w:rPr>
              <w:t xml:space="preserve"> = 7.</w:t>
            </w:r>
            <w:r>
              <w:rPr>
                <w:rFonts w:ascii="Garamond" w:hAnsi="Garamond" w:cs="Times New Roman"/>
                <w:color w:val="000000" w:themeColor="text1"/>
              </w:rPr>
              <w:t>1</w:t>
            </w:r>
            <w:r w:rsidRPr="00CA70F8">
              <w:rPr>
                <w:rFonts w:ascii="Garamond" w:hAnsi="Garamond" w:cs="Times New Roman"/>
                <w:color w:val="000000" w:themeColor="text1"/>
              </w:rPr>
              <w:t>%</w:t>
            </w:r>
          </w:p>
        </w:tc>
      </w:tr>
      <w:tr w:rsidR="009B775B" w:rsidTr="00A6540D">
        <w:trPr>
          <w:cantSplit/>
        </w:trPr>
        <w:tc>
          <w:tcPr>
            <w:tcW w:w="558" w:type="dxa"/>
          </w:tcPr>
          <w:p w:rsidR="009B775B" w:rsidRDefault="009B775B" w:rsidP="00A6540D">
            <w:pPr>
              <w:jc w:val="center"/>
              <w:rPr>
                <w:rFonts w:ascii="Garamond" w:hAnsi="Garamond" w:cs="Times New Roman"/>
                <w:color w:val="000000" w:themeColor="text1"/>
              </w:rPr>
            </w:pPr>
            <w:r>
              <w:rPr>
                <w:rFonts w:ascii="Garamond" w:hAnsi="Garamond" w:cs="Times New Roman"/>
                <w:color w:val="000000" w:themeColor="text1"/>
              </w:rPr>
              <w:t>(2)</w:t>
            </w:r>
          </w:p>
        </w:tc>
        <w:tc>
          <w:tcPr>
            <w:tcW w:w="1530" w:type="dxa"/>
          </w:tcPr>
          <w:p w:rsidR="009B775B" w:rsidRDefault="009B775B" w:rsidP="00A6540D">
            <w:pPr>
              <w:jc w:val="center"/>
              <w:rPr>
                <w:rFonts w:ascii="Garamond" w:hAnsi="Garamond" w:cs="Times New Roman"/>
                <w:color w:val="000000" w:themeColor="text1"/>
              </w:rPr>
            </w:pPr>
            <w:r>
              <w:rPr>
                <w:rFonts w:ascii="Garamond" w:hAnsi="Garamond" w:cs="Times New Roman"/>
                <w:color w:val="000000" w:themeColor="text1"/>
              </w:rPr>
              <w:t>366 – 456 Days (15 mos.)</w:t>
            </w:r>
          </w:p>
        </w:tc>
        <w:tc>
          <w:tcPr>
            <w:tcW w:w="1009" w:type="dxa"/>
          </w:tcPr>
          <w:p w:rsidR="009B775B" w:rsidRDefault="009B775B" w:rsidP="00A6540D">
            <w:pPr>
              <w:jc w:val="center"/>
              <w:rPr>
                <w:rFonts w:ascii="Garamond" w:hAnsi="Garamond" w:cs="Times New Roman"/>
                <w:color w:val="000000" w:themeColor="text1"/>
              </w:rPr>
            </w:pPr>
            <w:r>
              <w:rPr>
                <w:rFonts w:ascii="Garamond" w:hAnsi="Garamond" w:cs="Times New Roman"/>
                <w:color w:val="000000" w:themeColor="text1"/>
              </w:rPr>
              <w:t>44</w:t>
            </w:r>
          </w:p>
        </w:tc>
        <w:tc>
          <w:tcPr>
            <w:tcW w:w="1158" w:type="dxa"/>
          </w:tcPr>
          <w:p w:rsidR="009B775B" w:rsidRDefault="009B775B" w:rsidP="00A6540D">
            <w:pPr>
              <w:jc w:val="center"/>
              <w:rPr>
                <w:rFonts w:ascii="Garamond" w:hAnsi="Garamond" w:cs="Times New Roman"/>
                <w:color w:val="000000" w:themeColor="text1"/>
              </w:rPr>
            </w:pPr>
            <w:r>
              <w:rPr>
                <w:rFonts w:ascii="Garamond" w:hAnsi="Garamond" w:cs="Times New Roman"/>
                <w:color w:val="000000" w:themeColor="text1"/>
              </w:rPr>
              <w:t>30</w:t>
            </w:r>
          </w:p>
        </w:tc>
        <w:tc>
          <w:tcPr>
            <w:tcW w:w="1253" w:type="dxa"/>
          </w:tcPr>
          <w:p w:rsidR="009B775B" w:rsidRPr="00547D53" w:rsidRDefault="009B775B" w:rsidP="00A6540D">
            <w:pPr>
              <w:spacing w:after="100" w:afterAutospacing="1"/>
              <w:jc w:val="center"/>
              <w:rPr>
                <w:rFonts w:ascii="Garamond" w:hAnsi="Garamond" w:cs="Times New Roman"/>
                <w:color w:val="000000" w:themeColor="text1"/>
              </w:rPr>
            </w:pPr>
            <w:r w:rsidRPr="00547D53">
              <w:rPr>
                <w:rFonts w:ascii="Garamond" w:hAnsi="Garamond" w:cs="Times New Roman"/>
                <w:color w:val="000000" w:themeColor="text1"/>
              </w:rPr>
              <w:t>1</w:t>
            </w:r>
            <w:r>
              <w:rPr>
                <w:rFonts w:ascii="Garamond" w:hAnsi="Garamond" w:cs="Times New Roman"/>
                <w:color w:val="000000" w:themeColor="text1"/>
              </w:rPr>
              <w:t>6</w:t>
            </w:r>
          </w:p>
          <w:p w:rsidR="009B775B" w:rsidRDefault="009B775B" w:rsidP="00A6540D">
            <w:pPr>
              <w:rPr>
                <w:rFonts w:ascii="Garamond" w:hAnsi="Garamond" w:cs="Times New Roman"/>
                <w:color w:val="000000" w:themeColor="text1"/>
              </w:rPr>
            </w:pPr>
          </w:p>
        </w:tc>
        <w:tc>
          <w:tcPr>
            <w:tcW w:w="1620" w:type="dxa"/>
          </w:tcPr>
          <w:p w:rsidR="009B775B" w:rsidRDefault="009B775B" w:rsidP="00A6540D">
            <w:pPr>
              <w:jc w:val="center"/>
              <w:rPr>
                <w:rFonts w:ascii="Garamond" w:hAnsi="Garamond" w:cs="Times New Roman"/>
                <w:color w:val="000000" w:themeColor="text1"/>
              </w:rPr>
            </w:pPr>
            <w:r>
              <w:rPr>
                <w:rFonts w:ascii="Garamond" w:hAnsi="Garamond" w:cs="Times New Roman"/>
                <w:color w:val="000000" w:themeColor="text1"/>
              </w:rPr>
              <w:t>30/44 = 68%</w:t>
            </w:r>
          </w:p>
        </w:tc>
        <w:tc>
          <w:tcPr>
            <w:tcW w:w="1890" w:type="dxa"/>
          </w:tcPr>
          <w:p w:rsidR="009B775B" w:rsidRDefault="009B775B" w:rsidP="002624F9">
            <w:pPr>
              <w:jc w:val="center"/>
              <w:rPr>
                <w:rFonts w:ascii="Garamond" w:hAnsi="Garamond" w:cs="Times New Roman"/>
                <w:color w:val="000000" w:themeColor="text1"/>
              </w:rPr>
            </w:pPr>
            <w:r>
              <w:rPr>
                <w:rFonts w:ascii="Garamond" w:hAnsi="Garamond" w:cs="Times New Roman"/>
              </w:rPr>
              <w:t>16/44 = 36%</w:t>
            </w:r>
          </w:p>
        </w:tc>
      </w:tr>
      <w:tr w:rsidR="009B775B" w:rsidTr="00A6540D">
        <w:trPr>
          <w:trHeight w:val="530"/>
        </w:trPr>
        <w:tc>
          <w:tcPr>
            <w:tcW w:w="558" w:type="dxa"/>
          </w:tcPr>
          <w:p w:rsidR="009B775B" w:rsidRDefault="009B775B" w:rsidP="00A6540D">
            <w:pPr>
              <w:jc w:val="center"/>
              <w:rPr>
                <w:rFonts w:ascii="Garamond" w:hAnsi="Garamond" w:cs="Times New Roman"/>
                <w:color w:val="000000" w:themeColor="text1"/>
              </w:rPr>
            </w:pPr>
            <w:r>
              <w:rPr>
                <w:rFonts w:ascii="Garamond" w:hAnsi="Garamond" w:cs="Times New Roman"/>
                <w:color w:val="000000" w:themeColor="text1"/>
              </w:rPr>
              <w:t>(3)</w:t>
            </w:r>
          </w:p>
        </w:tc>
        <w:tc>
          <w:tcPr>
            <w:tcW w:w="1530" w:type="dxa"/>
          </w:tcPr>
          <w:p w:rsidR="009B775B" w:rsidRDefault="009B775B" w:rsidP="00A6540D">
            <w:pPr>
              <w:jc w:val="center"/>
              <w:rPr>
                <w:rFonts w:ascii="Garamond" w:hAnsi="Garamond" w:cs="Times New Roman"/>
                <w:color w:val="000000" w:themeColor="text1"/>
              </w:rPr>
            </w:pPr>
            <w:r>
              <w:rPr>
                <w:rFonts w:ascii="Garamond" w:hAnsi="Garamond" w:cs="Times New Roman"/>
                <w:color w:val="000000" w:themeColor="text1"/>
              </w:rPr>
              <w:t>457 – 547 Days (18 mos.)</w:t>
            </w:r>
          </w:p>
        </w:tc>
        <w:tc>
          <w:tcPr>
            <w:tcW w:w="1009" w:type="dxa"/>
          </w:tcPr>
          <w:p w:rsidR="009B775B" w:rsidRDefault="009B775B" w:rsidP="00A6540D">
            <w:pPr>
              <w:jc w:val="center"/>
              <w:rPr>
                <w:rFonts w:ascii="Garamond" w:hAnsi="Garamond" w:cs="Times New Roman"/>
                <w:color w:val="000000" w:themeColor="text1"/>
              </w:rPr>
            </w:pPr>
            <w:r>
              <w:rPr>
                <w:rFonts w:ascii="Garamond" w:hAnsi="Garamond" w:cs="Times New Roman"/>
                <w:color w:val="000000" w:themeColor="text1"/>
              </w:rPr>
              <w:t>26</w:t>
            </w:r>
          </w:p>
        </w:tc>
        <w:tc>
          <w:tcPr>
            <w:tcW w:w="1158" w:type="dxa"/>
          </w:tcPr>
          <w:p w:rsidR="009B775B" w:rsidRDefault="009B775B" w:rsidP="00A6540D">
            <w:pPr>
              <w:jc w:val="center"/>
              <w:rPr>
                <w:rFonts w:ascii="Garamond" w:hAnsi="Garamond" w:cs="Times New Roman"/>
                <w:color w:val="000000" w:themeColor="text1"/>
              </w:rPr>
            </w:pPr>
            <w:r>
              <w:rPr>
                <w:rFonts w:ascii="Garamond" w:hAnsi="Garamond" w:cs="Times New Roman"/>
                <w:color w:val="000000" w:themeColor="text1"/>
              </w:rPr>
              <w:t>18</w:t>
            </w:r>
          </w:p>
        </w:tc>
        <w:tc>
          <w:tcPr>
            <w:tcW w:w="1253" w:type="dxa"/>
          </w:tcPr>
          <w:p w:rsidR="009B775B" w:rsidRDefault="009B775B" w:rsidP="00A6540D">
            <w:pPr>
              <w:jc w:val="center"/>
              <w:rPr>
                <w:rFonts w:ascii="Garamond" w:hAnsi="Garamond" w:cs="Times New Roman"/>
                <w:color w:val="000000" w:themeColor="text1"/>
              </w:rPr>
            </w:pPr>
            <w:r>
              <w:rPr>
                <w:rFonts w:ascii="Garamond" w:hAnsi="Garamond" w:cs="Times New Roman"/>
                <w:color w:val="000000" w:themeColor="text1"/>
              </w:rPr>
              <w:t>12</w:t>
            </w:r>
          </w:p>
        </w:tc>
        <w:tc>
          <w:tcPr>
            <w:tcW w:w="1620" w:type="dxa"/>
          </w:tcPr>
          <w:p w:rsidR="009B775B" w:rsidRDefault="009B775B" w:rsidP="00A6540D">
            <w:pPr>
              <w:jc w:val="center"/>
              <w:rPr>
                <w:rFonts w:ascii="Garamond" w:hAnsi="Garamond" w:cs="Times New Roman"/>
                <w:color w:val="000000" w:themeColor="text1"/>
              </w:rPr>
            </w:pPr>
            <w:r>
              <w:rPr>
                <w:rFonts w:ascii="Garamond" w:hAnsi="Garamond" w:cs="Times New Roman"/>
                <w:color w:val="000000" w:themeColor="text1"/>
              </w:rPr>
              <w:t>18/26 = 69%</w:t>
            </w:r>
          </w:p>
        </w:tc>
        <w:tc>
          <w:tcPr>
            <w:tcW w:w="1890" w:type="dxa"/>
          </w:tcPr>
          <w:p w:rsidR="009B775B" w:rsidRDefault="009B775B" w:rsidP="002624F9">
            <w:pPr>
              <w:jc w:val="center"/>
              <w:rPr>
                <w:rFonts w:ascii="Garamond" w:hAnsi="Garamond" w:cs="Times New Roman"/>
                <w:color w:val="000000" w:themeColor="text1"/>
              </w:rPr>
            </w:pPr>
            <w:r>
              <w:rPr>
                <w:rFonts w:ascii="Garamond" w:hAnsi="Garamond" w:cs="Times New Roman"/>
                <w:color w:val="000000" w:themeColor="text1"/>
              </w:rPr>
              <w:t>12/26 = 46%</w:t>
            </w:r>
          </w:p>
        </w:tc>
      </w:tr>
      <w:tr w:rsidR="009B775B" w:rsidTr="00A6540D">
        <w:tc>
          <w:tcPr>
            <w:tcW w:w="558" w:type="dxa"/>
          </w:tcPr>
          <w:p w:rsidR="009B775B" w:rsidRDefault="009B775B" w:rsidP="00A6540D">
            <w:pPr>
              <w:jc w:val="center"/>
              <w:rPr>
                <w:rFonts w:ascii="Garamond" w:hAnsi="Garamond" w:cs="Times New Roman"/>
                <w:color w:val="000000" w:themeColor="text1"/>
              </w:rPr>
            </w:pPr>
            <w:r>
              <w:rPr>
                <w:rFonts w:ascii="Garamond" w:hAnsi="Garamond" w:cs="Times New Roman"/>
                <w:color w:val="000000" w:themeColor="text1"/>
              </w:rPr>
              <w:t>(4)</w:t>
            </w:r>
          </w:p>
        </w:tc>
        <w:tc>
          <w:tcPr>
            <w:tcW w:w="1530" w:type="dxa"/>
          </w:tcPr>
          <w:p w:rsidR="009B775B" w:rsidRDefault="009B775B" w:rsidP="00A6540D">
            <w:pPr>
              <w:jc w:val="center"/>
              <w:rPr>
                <w:rFonts w:ascii="Garamond" w:hAnsi="Garamond" w:cs="Times New Roman"/>
                <w:color w:val="000000" w:themeColor="text1"/>
              </w:rPr>
            </w:pPr>
            <w:r>
              <w:rPr>
                <w:rFonts w:ascii="Garamond" w:hAnsi="Garamond" w:cs="Times New Roman"/>
                <w:color w:val="000000" w:themeColor="text1"/>
              </w:rPr>
              <w:t>548 Days to 2 Years</w:t>
            </w:r>
          </w:p>
        </w:tc>
        <w:tc>
          <w:tcPr>
            <w:tcW w:w="1009" w:type="dxa"/>
          </w:tcPr>
          <w:p w:rsidR="009B775B" w:rsidRDefault="009B775B" w:rsidP="00A6540D">
            <w:pPr>
              <w:jc w:val="center"/>
              <w:rPr>
                <w:rFonts w:ascii="Garamond" w:hAnsi="Garamond" w:cs="Times New Roman"/>
                <w:color w:val="000000" w:themeColor="text1"/>
              </w:rPr>
            </w:pPr>
            <w:r>
              <w:rPr>
                <w:rFonts w:ascii="Garamond" w:hAnsi="Garamond" w:cs="Times New Roman"/>
                <w:color w:val="000000" w:themeColor="text1"/>
              </w:rPr>
              <w:t>42</w:t>
            </w:r>
          </w:p>
        </w:tc>
        <w:tc>
          <w:tcPr>
            <w:tcW w:w="1158" w:type="dxa"/>
          </w:tcPr>
          <w:p w:rsidR="009B775B" w:rsidRDefault="009B775B" w:rsidP="00A6540D">
            <w:pPr>
              <w:jc w:val="center"/>
              <w:rPr>
                <w:rFonts w:ascii="Garamond" w:hAnsi="Garamond" w:cs="Times New Roman"/>
                <w:color w:val="000000" w:themeColor="text1"/>
              </w:rPr>
            </w:pPr>
            <w:r>
              <w:rPr>
                <w:rFonts w:ascii="Garamond" w:hAnsi="Garamond" w:cs="Times New Roman"/>
                <w:color w:val="000000" w:themeColor="text1"/>
              </w:rPr>
              <w:t>34</w:t>
            </w:r>
          </w:p>
        </w:tc>
        <w:tc>
          <w:tcPr>
            <w:tcW w:w="1253" w:type="dxa"/>
          </w:tcPr>
          <w:p w:rsidR="009B775B" w:rsidRDefault="009B775B" w:rsidP="00A6540D">
            <w:pPr>
              <w:jc w:val="center"/>
              <w:rPr>
                <w:rFonts w:ascii="Garamond" w:hAnsi="Garamond" w:cs="Times New Roman"/>
                <w:color w:val="000000" w:themeColor="text1"/>
              </w:rPr>
            </w:pPr>
            <w:r>
              <w:rPr>
                <w:rFonts w:ascii="Garamond" w:hAnsi="Garamond" w:cs="Times New Roman"/>
                <w:color w:val="000000" w:themeColor="text1"/>
              </w:rPr>
              <w:t>26</w:t>
            </w:r>
          </w:p>
        </w:tc>
        <w:tc>
          <w:tcPr>
            <w:tcW w:w="1620" w:type="dxa"/>
          </w:tcPr>
          <w:p w:rsidR="009B775B" w:rsidRDefault="009B775B" w:rsidP="00A6540D">
            <w:pPr>
              <w:jc w:val="center"/>
              <w:rPr>
                <w:rFonts w:ascii="Garamond" w:hAnsi="Garamond" w:cs="Times New Roman"/>
                <w:color w:val="000000" w:themeColor="text1"/>
              </w:rPr>
            </w:pPr>
            <w:r>
              <w:rPr>
                <w:rFonts w:ascii="Garamond" w:hAnsi="Garamond" w:cs="Times New Roman"/>
                <w:color w:val="000000" w:themeColor="text1"/>
              </w:rPr>
              <w:t>34/42 = 81%</w:t>
            </w:r>
          </w:p>
        </w:tc>
        <w:tc>
          <w:tcPr>
            <w:tcW w:w="1890" w:type="dxa"/>
          </w:tcPr>
          <w:p w:rsidR="009B775B" w:rsidRDefault="009B775B" w:rsidP="002624F9">
            <w:pPr>
              <w:jc w:val="center"/>
              <w:rPr>
                <w:rFonts w:ascii="Garamond" w:hAnsi="Garamond" w:cs="Times New Roman"/>
                <w:color w:val="000000" w:themeColor="text1"/>
              </w:rPr>
            </w:pPr>
            <w:r>
              <w:rPr>
                <w:rFonts w:ascii="Garamond" w:hAnsi="Garamond" w:cs="Times New Roman"/>
                <w:color w:val="000000" w:themeColor="text1"/>
              </w:rPr>
              <w:t>26/42 = 6</w:t>
            </w:r>
            <w:r w:rsidR="002624F9">
              <w:rPr>
                <w:rFonts w:ascii="Garamond" w:hAnsi="Garamond" w:cs="Times New Roman"/>
                <w:color w:val="000000" w:themeColor="text1"/>
              </w:rPr>
              <w:t>2</w:t>
            </w:r>
            <w:r>
              <w:rPr>
                <w:rFonts w:ascii="Garamond" w:hAnsi="Garamond" w:cs="Times New Roman"/>
                <w:color w:val="000000" w:themeColor="text1"/>
              </w:rPr>
              <w:t>%</w:t>
            </w:r>
          </w:p>
        </w:tc>
      </w:tr>
      <w:tr w:rsidR="009B775B" w:rsidTr="00A6540D">
        <w:tc>
          <w:tcPr>
            <w:tcW w:w="558" w:type="dxa"/>
            <w:tcBorders>
              <w:bottom w:val="single" w:sz="18" w:space="0" w:color="auto"/>
            </w:tcBorders>
          </w:tcPr>
          <w:p w:rsidR="009B775B" w:rsidRDefault="009B775B" w:rsidP="00A6540D">
            <w:pPr>
              <w:jc w:val="center"/>
              <w:rPr>
                <w:rFonts w:ascii="Garamond" w:hAnsi="Garamond" w:cs="Times New Roman"/>
                <w:color w:val="000000" w:themeColor="text1"/>
              </w:rPr>
            </w:pPr>
            <w:r>
              <w:rPr>
                <w:rFonts w:ascii="Garamond" w:hAnsi="Garamond" w:cs="Times New Roman"/>
                <w:color w:val="000000" w:themeColor="text1"/>
              </w:rPr>
              <w:t>(5)</w:t>
            </w:r>
          </w:p>
        </w:tc>
        <w:tc>
          <w:tcPr>
            <w:tcW w:w="1530" w:type="dxa"/>
            <w:tcBorders>
              <w:bottom w:val="single" w:sz="18" w:space="0" w:color="auto"/>
            </w:tcBorders>
          </w:tcPr>
          <w:p w:rsidR="009B775B" w:rsidRDefault="009B775B" w:rsidP="00A6540D">
            <w:pPr>
              <w:jc w:val="center"/>
              <w:rPr>
                <w:rFonts w:ascii="Garamond" w:hAnsi="Garamond" w:cs="Times New Roman"/>
                <w:color w:val="000000" w:themeColor="text1"/>
              </w:rPr>
            </w:pPr>
            <w:r>
              <w:rPr>
                <w:rFonts w:ascii="Garamond" w:hAnsi="Garamond" w:cs="Times New Roman"/>
                <w:color w:val="000000" w:themeColor="text1"/>
              </w:rPr>
              <w:t>More than 2 Years</w:t>
            </w:r>
          </w:p>
        </w:tc>
        <w:tc>
          <w:tcPr>
            <w:tcW w:w="1009" w:type="dxa"/>
            <w:tcBorders>
              <w:bottom w:val="single" w:sz="18" w:space="0" w:color="auto"/>
            </w:tcBorders>
          </w:tcPr>
          <w:p w:rsidR="009B775B" w:rsidRDefault="009B775B" w:rsidP="00A6540D">
            <w:pPr>
              <w:jc w:val="center"/>
              <w:rPr>
                <w:rFonts w:ascii="Garamond" w:hAnsi="Garamond" w:cs="Times New Roman"/>
                <w:color w:val="000000" w:themeColor="text1"/>
              </w:rPr>
            </w:pPr>
            <w:r>
              <w:rPr>
                <w:rFonts w:ascii="Garamond" w:hAnsi="Garamond" w:cs="Times New Roman"/>
                <w:color w:val="000000" w:themeColor="text1"/>
              </w:rPr>
              <w:t>36</w:t>
            </w:r>
          </w:p>
        </w:tc>
        <w:tc>
          <w:tcPr>
            <w:tcW w:w="1158" w:type="dxa"/>
            <w:tcBorders>
              <w:bottom w:val="single" w:sz="18" w:space="0" w:color="auto"/>
            </w:tcBorders>
          </w:tcPr>
          <w:p w:rsidR="009B775B" w:rsidRDefault="009B775B" w:rsidP="00A6540D">
            <w:pPr>
              <w:jc w:val="center"/>
              <w:rPr>
                <w:rFonts w:ascii="Garamond" w:hAnsi="Garamond" w:cs="Times New Roman"/>
                <w:color w:val="000000" w:themeColor="text1"/>
              </w:rPr>
            </w:pPr>
            <w:r>
              <w:rPr>
                <w:rFonts w:ascii="Garamond" w:hAnsi="Garamond" w:cs="Times New Roman"/>
                <w:color w:val="000000" w:themeColor="text1"/>
              </w:rPr>
              <w:t>26</w:t>
            </w:r>
          </w:p>
        </w:tc>
        <w:tc>
          <w:tcPr>
            <w:tcW w:w="1253" w:type="dxa"/>
            <w:tcBorders>
              <w:bottom w:val="single" w:sz="18" w:space="0" w:color="auto"/>
            </w:tcBorders>
          </w:tcPr>
          <w:p w:rsidR="009B775B" w:rsidRDefault="009B775B" w:rsidP="00A6540D">
            <w:pPr>
              <w:jc w:val="center"/>
              <w:rPr>
                <w:rFonts w:ascii="Garamond" w:hAnsi="Garamond" w:cs="Times New Roman"/>
                <w:color w:val="000000" w:themeColor="text1"/>
              </w:rPr>
            </w:pPr>
            <w:r>
              <w:rPr>
                <w:rFonts w:ascii="Garamond" w:hAnsi="Garamond" w:cs="Times New Roman"/>
                <w:color w:val="000000" w:themeColor="text1"/>
              </w:rPr>
              <w:t>16</w:t>
            </w:r>
          </w:p>
        </w:tc>
        <w:tc>
          <w:tcPr>
            <w:tcW w:w="1620" w:type="dxa"/>
            <w:tcBorders>
              <w:bottom w:val="single" w:sz="18" w:space="0" w:color="auto"/>
            </w:tcBorders>
          </w:tcPr>
          <w:p w:rsidR="009B775B" w:rsidRDefault="009B775B" w:rsidP="00A6540D">
            <w:pPr>
              <w:jc w:val="center"/>
              <w:rPr>
                <w:rFonts w:ascii="Garamond" w:hAnsi="Garamond" w:cs="Times New Roman"/>
                <w:color w:val="000000" w:themeColor="text1"/>
              </w:rPr>
            </w:pPr>
            <w:r>
              <w:rPr>
                <w:rFonts w:ascii="Garamond" w:hAnsi="Garamond" w:cs="Times New Roman"/>
                <w:color w:val="000000" w:themeColor="text1"/>
              </w:rPr>
              <w:t>26/36 = 72%</w:t>
            </w:r>
          </w:p>
        </w:tc>
        <w:tc>
          <w:tcPr>
            <w:tcW w:w="1890" w:type="dxa"/>
            <w:tcBorders>
              <w:bottom w:val="single" w:sz="18" w:space="0" w:color="auto"/>
            </w:tcBorders>
          </w:tcPr>
          <w:p w:rsidR="009B775B" w:rsidRDefault="009B775B" w:rsidP="002624F9">
            <w:pPr>
              <w:jc w:val="center"/>
              <w:rPr>
                <w:rFonts w:ascii="Garamond" w:hAnsi="Garamond" w:cs="Times New Roman"/>
                <w:color w:val="000000" w:themeColor="text1"/>
              </w:rPr>
            </w:pPr>
            <w:r>
              <w:rPr>
                <w:rFonts w:ascii="Garamond" w:hAnsi="Garamond" w:cs="Times New Roman"/>
                <w:color w:val="000000" w:themeColor="text1"/>
              </w:rPr>
              <w:t>16/36 = 44%</w:t>
            </w:r>
          </w:p>
        </w:tc>
      </w:tr>
      <w:tr w:rsidR="009B775B" w:rsidTr="00A6540D">
        <w:tc>
          <w:tcPr>
            <w:tcW w:w="558" w:type="dxa"/>
            <w:tcBorders>
              <w:top w:val="single" w:sz="18" w:space="0" w:color="auto"/>
            </w:tcBorders>
          </w:tcPr>
          <w:p w:rsidR="009B775B" w:rsidRPr="00D352B0" w:rsidRDefault="009B775B" w:rsidP="00A6540D">
            <w:pPr>
              <w:jc w:val="center"/>
              <w:rPr>
                <w:rFonts w:ascii="Garamond" w:hAnsi="Garamond" w:cs="Times New Roman"/>
                <w:b/>
                <w:color w:val="000000" w:themeColor="text1"/>
              </w:rPr>
            </w:pPr>
            <w:r w:rsidRPr="00D352B0">
              <w:rPr>
                <w:rFonts w:ascii="Garamond" w:hAnsi="Garamond" w:cs="Times New Roman"/>
                <w:b/>
                <w:color w:val="000000" w:themeColor="text1"/>
              </w:rPr>
              <w:t>(6)</w:t>
            </w:r>
          </w:p>
        </w:tc>
        <w:tc>
          <w:tcPr>
            <w:tcW w:w="1530" w:type="dxa"/>
            <w:tcBorders>
              <w:top w:val="single" w:sz="18" w:space="0" w:color="auto"/>
            </w:tcBorders>
          </w:tcPr>
          <w:p w:rsidR="009B775B" w:rsidRDefault="009B775B" w:rsidP="00A6540D">
            <w:pPr>
              <w:jc w:val="center"/>
              <w:rPr>
                <w:rFonts w:ascii="Garamond" w:hAnsi="Garamond" w:cs="Times New Roman"/>
                <w:color w:val="000000" w:themeColor="text1"/>
              </w:rPr>
            </w:pPr>
            <w:r>
              <w:rPr>
                <w:rFonts w:ascii="Garamond" w:hAnsi="Garamond" w:cs="Times New Roman"/>
                <w:b/>
                <w:color w:val="000000" w:themeColor="text1"/>
              </w:rPr>
              <w:t>Totals: 346 Days &amp; Beyond</w:t>
            </w:r>
          </w:p>
        </w:tc>
        <w:tc>
          <w:tcPr>
            <w:tcW w:w="1009" w:type="dxa"/>
            <w:tcBorders>
              <w:top w:val="single" w:sz="18" w:space="0" w:color="auto"/>
            </w:tcBorders>
          </w:tcPr>
          <w:p w:rsidR="009B775B" w:rsidRDefault="009B775B" w:rsidP="00A6540D">
            <w:pPr>
              <w:jc w:val="center"/>
              <w:rPr>
                <w:rFonts w:ascii="Garamond" w:hAnsi="Garamond" w:cs="Times New Roman"/>
                <w:color w:val="000000" w:themeColor="text1"/>
              </w:rPr>
            </w:pPr>
            <w:r>
              <w:rPr>
                <w:rFonts w:ascii="Garamond" w:hAnsi="Garamond" w:cs="Times New Roman"/>
                <w:b/>
                <w:color w:val="000000" w:themeColor="text1"/>
              </w:rPr>
              <w:t>162</w:t>
            </w:r>
          </w:p>
        </w:tc>
        <w:tc>
          <w:tcPr>
            <w:tcW w:w="1158" w:type="dxa"/>
            <w:tcBorders>
              <w:top w:val="single" w:sz="18" w:space="0" w:color="auto"/>
            </w:tcBorders>
          </w:tcPr>
          <w:p w:rsidR="009B775B" w:rsidRPr="000C4BD7" w:rsidRDefault="009B775B" w:rsidP="00A6540D">
            <w:pPr>
              <w:jc w:val="center"/>
              <w:rPr>
                <w:rFonts w:ascii="Garamond" w:hAnsi="Garamond" w:cs="Times New Roman"/>
                <w:b/>
                <w:color w:val="000000" w:themeColor="text1"/>
              </w:rPr>
            </w:pPr>
            <w:r w:rsidRPr="000C4BD7">
              <w:rPr>
                <w:rFonts w:ascii="Garamond" w:hAnsi="Garamond" w:cs="Times New Roman"/>
                <w:b/>
                <w:color w:val="000000" w:themeColor="text1"/>
              </w:rPr>
              <w:t>11</w:t>
            </w:r>
            <w:r>
              <w:rPr>
                <w:rFonts w:ascii="Garamond" w:hAnsi="Garamond" w:cs="Times New Roman"/>
                <w:b/>
                <w:color w:val="000000" w:themeColor="text1"/>
              </w:rPr>
              <w:t>5</w:t>
            </w:r>
          </w:p>
        </w:tc>
        <w:tc>
          <w:tcPr>
            <w:tcW w:w="1253" w:type="dxa"/>
            <w:tcBorders>
              <w:top w:val="single" w:sz="18" w:space="0" w:color="auto"/>
            </w:tcBorders>
          </w:tcPr>
          <w:p w:rsidR="009B775B" w:rsidRPr="000C4BD7" w:rsidRDefault="009B775B" w:rsidP="00A6540D">
            <w:pPr>
              <w:jc w:val="center"/>
              <w:rPr>
                <w:rFonts w:ascii="Garamond" w:hAnsi="Garamond" w:cs="Times New Roman"/>
                <w:b/>
                <w:color w:val="000000" w:themeColor="text1"/>
              </w:rPr>
            </w:pPr>
            <w:r w:rsidRPr="000C4BD7">
              <w:rPr>
                <w:rFonts w:ascii="Garamond" w:hAnsi="Garamond" w:cs="Times New Roman"/>
                <w:b/>
                <w:color w:val="000000" w:themeColor="text1"/>
              </w:rPr>
              <w:t>71</w:t>
            </w:r>
          </w:p>
        </w:tc>
        <w:tc>
          <w:tcPr>
            <w:tcW w:w="1620" w:type="dxa"/>
            <w:tcBorders>
              <w:top w:val="single" w:sz="18" w:space="0" w:color="auto"/>
            </w:tcBorders>
          </w:tcPr>
          <w:p w:rsidR="009B775B" w:rsidRPr="000C4BD7" w:rsidRDefault="009B775B" w:rsidP="00A6540D">
            <w:pPr>
              <w:jc w:val="center"/>
              <w:rPr>
                <w:rFonts w:ascii="Garamond" w:hAnsi="Garamond" w:cs="Times New Roman"/>
                <w:b/>
                <w:color w:val="000000" w:themeColor="text1"/>
              </w:rPr>
            </w:pPr>
            <w:r w:rsidRPr="000C4BD7">
              <w:rPr>
                <w:rFonts w:ascii="Garamond" w:hAnsi="Garamond" w:cs="Times New Roman"/>
                <w:b/>
                <w:color w:val="000000" w:themeColor="text1"/>
              </w:rPr>
              <w:t>11</w:t>
            </w:r>
            <w:r>
              <w:rPr>
                <w:rFonts w:ascii="Garamond" w:hAnsi="Garamond" w:cs="Times New Roman"/>
                <w:b/>
                <w:color w:val="000000" w:themeColor="text1"/>
              </w:rPr>
              <w:t>5</w:t>
            </w:r>
            <w:r w:rsidRPr="000C4BD7">
              <w:rPr>
                <w:rFonts w:ascii="Garamond" w:hAnsi="Garamond" w:cs="Times New Roman"/>
                <w:b/>
                <w:color w:val="000000" w:themeColor="text1"/>
              </w:rPr>
              <w:t>/16</w:t>
            </w:r>
            <w:r>
              <w:rPr>
                <w:rFonts w:ascii="Garamond" w:hAnsi="Garamond" w:cs="Times New Roman"/>
                <w:b/>
                <w:color w:val="000000" w:themeColor="text1"/>
              </w:rPr>
              <w:t>2</w:t>
            </w:r>
            <w:r w:rsidRPr="000C4BD7">
              <w:rPr>
                <w:rFonts w:ascii="Garamond" w:hAnsi="Garamond" w:cs="Times New Roman"/>
                <w:b/>
                <w:color w:val="000000" w:themeColor="text1"/>
              </w:rPr>
              <w:t xml:space="preserve"> = 7</w:t>
            </w:r>
            <w:r>
              <w:rPr>
                <w:rFonts w:ascii="Garamond" w:hAnsi="Garamond" w:cs="Times New Roman"/>
                <w:b/>
                <w:color w:val="000000" w:themeColor="text1"/>
              </w:rPr>
              <w:t>1</w:t>
            </w:r>
            <w:r w:rsidRPr="000C4BD7">
              <w:rPr>
                <w:rFonts w:ascii="Garamond" w:hAnsi="Garamond" w:cs="Times New Roman"/>
                <w:b/>
                <w:color w:val="000000" w:themeColor="text1"/>
              </w:rPr>
              <w:t>%</w:t>
            </w:r>
          </w:p>
        </w:tc>
        <w:tc>
          <w:tcPr>
            <w:tcW w:w="1890" w:type="dxa"/>
            <w:tcBorders>
              <w:top w:val="single" w:sz="18" w:space="0" w:color="auto"/>
            </w:tcBorders>
          </w:tcPr>
          <w:p w:rsidR="009B775B" w:rsidRPr="000C4BD7" w:rsidRDefault="009B775B" w:rsidP="002624F9">
            <w:pPr>
              <w:jc w:val="center"/>
              <w:rPr>
                <w:rFonts w:ascii="Garamond" w:hAnsi="Garamond" w:cs="Times New Roman"/>
                <w:b/>
                <w:color w:val="000000" w:themeColor="text1"/>
              </w:rPr>
            </w:pPr>
            <w:r w:rsidRPr="000C4BD7">
              <w:rPr>
                <w:rFonts w:ascii="Garamond" w:hAnsi="Garamond" w:cs="Times New Roman"/>
                <w:b/>
                <w:color w:val="000000" w:themeColor="text1"/>
              </w:rPr>
              <w:t>71/16</w:t>
            </w:r>
            <w:r>
              <w:rPr>
                <w:rFonts w:ascii="Garamond" w:hAnsi="Garamond" w:cs="Times New Roman"/>
                <w:b/>
                <w:color w:val="000000" w:themeColor="text1"/>
              </w:rPr>
              <w:t>2</w:t>
            </w:r>
            <w:r w:rsidRPr="000C4BD7">
              <w:rPr>
                <w:rFonts w:ascii="Garamond" w:hAnsi="Garamond" w:cs="Times New Roman"/>
                <w:b/>
                <w:color w:val="000000" w:themeColor="text1"/>
              </w:rPr>
              <w:t xml:space="preserve"> = 4</w:t>
            </w:r>
            <w:r w:rsidR="002624F9">
              <w:rPr>
                <w:rFonts w:ascii="Garamond" w:hAnsi="Garamond" w:cs="Times New Roman"/>
                <w:b/>
                <w:color w:val="000000" w:themeColor="text1"/>
              </w:rPr>
              <w:t>4</w:t>
            </w:r>
            <w:r w:rsidRPr="000C4BD7">
              <w:rPr>
                <w:rFonts w:ascii="Garamond" w:hAnsi="Garamond" w:cs="Times New Roman"/>
                <w:b/>
                <w:color w:val="000000" w:themeColor="text1"/>
              </w:rPr>
              <w:t>%</w:t>
            </w:r>
          </w:p>
        </w:tc>
      </w:tr>
      <w:tr w:rsidR="009B775B" w:rsidTr="00A6540D">
        <w:tc>
          <w:tcPr>
            <w:tcW w:w="558" w:type="dxa"/>
          </w:tcPr>
          <w:p w:rsidR="009B775B" w:rsidRDefault="009B775B" w:rsidP="00A6540D">
            <w:pPr>
              <w:jc w:val="center"/>
              <w:rPr>
                <w:rFonts w:ascii="Garamond" w:hAnsi="Garamond" w:cs="Times New Roman"/>
                <w:b/>
                <w:color w:val="000000" w:themeColor="text1"/>
              </w:rPr>
            </w:pPr>
            <w:r>
              <w:rPr>
                <w:rFonts w:ascii="Garamond" w:hAnsi="Garamond" w:cs="Times New Roman"/>
                <w:b/>
                <w:color w:val="000000" w:themeColor="text1"/>
              </w:rPr>
              <w:t>(7)</w:t>
            </w:r>
          </w:p>
        </w:tc>
        <w:tc>
          <w:tcPr>
            <w:tcW w:w="1530" w:type="dxa"/>
          </w:tcPr>
          <w:p w:rsidR="009B775B" w:rsidRPr="00D352B0" w:rsidRDefault="009B775B" w:rsidP="00A6540D">
            <w:pPr>
              <w:jc w:val="center"/>
              <w:rPr>
                <w:rFonts w:ascii="Garamond" w:hAnsi="Garamond" w:cs="Times New Roman"/>
                <w:b/>
                <w:color w:val="000000" w:themeColor="text1"/>
              </w:rPr>
            </w:pPr>
            <w:r>
              <w:rPr>
                <w:rFonts w:ascii="Garamond" w:hAnsi="Garamond" w:cs="Times New Roman"/>
                <w:b/>
                <w:color w:val="000000" w:themeColor="text1"/>
              </w:rPr>
              <w:t>Totals: 366 Days &amp; Beyond</w:t>
            </w:r>
          </w:p>
        </w:tc>
        <w:tc>
          <w:tcPr>
            <w:tcW w:w="1009" w:type="dxa"/>
          </w:tcPr>
          <w:p w:rsidR="009B775B" w:rsidRDefault="009B775B" w:rsidP="00A6540D">
            <w:pPr>
              <w:jc w:val="center"/>
              <w:rPr>
                <w:rFonts w:ascii="Garamond" w:hAnsi="Garamond" w:cs="Times New Roman"/>
                <w:color w:val="000000" w:themeColor="text1"/>
              </w:rPr>
            </w:pPr>
            <w:r>
              <w:rPr>
                <w:rFonts w:ascii="Garamond" w:hAnsi="Garamond" w:cs="Times New Roman"/>
                <w:b/>
                <w:color w:val="000000" w:themeColor="text1"/>
              </w:rPr>
              <w:t>148</w:t>
            </w:r>
          </w:p>
        </w:tc>
        <w:tc>
          <w:tcPr>
            <w:tcW w:w="1158" w:type="dxa"/>
          </w:tcPr>
          <w:p w:rsidR="009B775B" w:rsidRPr="00900234" w:rsidRDefault="009B775B" w:rsidP="00A6540D">
            <w:pPr>
              <w:jc w:val="center"/>
              <w:rPr>
                <w:rFonts w:ascii="Garamond" w:hAnsi="Garamond" w:cs="Times New Roman"/>
                <w:b/>
                <w:color w:val="000000" w:themeColor="text1"/>
              </w:rPr>
            </w:pPr>
            <w:r w:rsidRPr="00900234">
              <w:rPr>
                <w:rFonts w:ascii="Garamond" w:hAnsi="Garamond" w:cs="Times New Roman"/>
                <w:b/>
                <w:color w:val="000000" w:themeColor="text1"/>
              </w:rPr>
              <w:t>1</w:t>
            </w:r>
            <w:r>
              <w:rPr>
                <w:rFonts w:ascii="Garamond" w:hAnsi="Garamond" w:cs="Times New Roman"/>
                <w:b/>
                <w:color w:val="000000" w:themeColor="text1"/>
              </w:rPr>
              <w:t>08</w:t>
            </w:r>
          </w:p>
        </w:tc>
        <w:tc>
          <w:tcPr>
            <w:tcW w:w="1253" w:type="dxa"/>
          </w:tcPr>
          <w:p w:rsidR="009B775B" w:rsidRPr="00900234" w:rsidRDefault="009B775B" w:rsidP="00A6540D">
            <w:pPr>
              <w:jc w:val="center"/>
              <w:rPr>
                <w:rFonts w:ascii="Garamond" w:hAnsi="Garamond" w:cs="Times New Roman"/>
                <w:b/>
                <w:color w:val="000000" w:themeColor="text1"/>
              </w:rPr>
            </w:pPr>
            <w:r>
              <w:rPr>
                <w:rFonts w:ascii="Garamond" w:hAnsi="Garamond" w:cs="Times New Roman"/>
                <w:b/>
                <w:color w:val="000000" w:themeColor="text1"/>
              </w:rPr>
              <w:t>70</w:t>
            </w:r>
          </w:p>
        </w:tc>
        <w:tc>
          <w:tcPr>
            <w:tcW w:w="1620" w:type="dxa"/>
          </w:tcPr>
          <w:p w:rsidR="009B775B" w:rsidRPr="00900234" w:rsidRDefault="009B775B" w:rsidP="00A6540D">
            <w:pPr>
              <w:jc w:val="center"/>
              <w:rPr>
                <w:rFonts w:ascii="Garamond" w:hAnsi="Garamond" w:cs="Times New Roman"/>
                <w:b/>
                <w:color w:val="000000" w:themeColor="text1"/>
              </w:rPr>
            </w:pPr>
            <w:r w:rsidRPr="00900234">
              <w:rPr>
                <w:rFonts w:ascii="Garamond" w:hAnsi="Garamond" w:cs="Times New Roman"/>
                <w:b/>
                <w:color w:val="000000" w:themeColor="text1"/>
              </w:rPr>
              <w:t>1</w:t>
            </w:r>
            <w:r>
              <w:rPr>
                <w:rFonts w:ascii="Garamond" w:hAnsi="Garamond" w:cs="Times New Roman"/>
                <w:b/>
                <w:color w:val="000000" w:themeColor="text1"/>
              </w:rPr>
              <w:t>08</w:t>
            </w:r>
            <w:r w:rsidRPr="00900234">
              <w:rPr>
                <w:rFonts w:ascii="Garamond" w:hAnsi="Garamond" w:cs="Times New Roman"/>
                <w:b/>
                <w:color w:val="000000" w:themeColor="text1"/>
              </w:rPr>
              <w:t>/1</w:t>
            </w:r>
            <w:r>
              <w:rPr>
                <w:rFonts w:ascii="Garamond" w:hAnsi="Garamond" w:cs="Times New Roman"/>
                <w:b/>
                <w:color w:val="000000" w:themeColor="text1"/>
              </w:rPr>
              <w:t>48</w:t>
            </w:r>
            <w:r w:rsidRPr="00900234">
              <w:rPr>
                <w:rFonts w:ascii="Garamond" w:hAnsi="Garamond" w:cs="Times New Roman"/>
                <w:b/>
                <w:color w:val="000000" w:themeColor="text1"/>
              </w:rPr>
              <w:t xml:space="preserve"> = 7</w:t>
            </w:r>
            <w:r>
              <w:rPr>
                <w:rFonts w:ascii="Garamond" w:hAnsi="Garamond" w:cs="Times New Roman"/>
                <w:b/>
                <w:color w:val="000000" w:themeColor="text1"/>
              </w:rPr>
              <w:t>3</w:t>
            </w:r>
            <w:r w:rsidRPr="00900234">
              <w:rPr>
                <w:rFonts w:ascii="Garamond" w:hAnsi="Garamond" w:cs="Times New Roman"/>
                <w:b/>
                <w:color w:val="000000" w:themeColor="text1"/>
              </w:rPr>
              <w:t>%</w:t>
            </w:r>
          </w:p>
        </w:tc>
        <w:tc>
          <w:tcPr>
            <w:tcW w:w="1890" w:type="dxa"/>
          </w:tcPr>
          <w:p w:rsidR="009B775B" w:rsidRDefault="009B775B" w:rsidP="002624F9">
            <w:pPr>
              <w:jc w:val="center"/>
              <w:rPr>
                <w:rFonts w:ascii="Garamond" w:hAnsi="Garamond" w:cs="Times New Roman"/>
                <w:color w:val="000000" w:themeColor="text1"/>
              </w:rPr>
            </w:pPr>
            <w:r>
              <w:rPr>
                <w:rFonts w:ascii="Garamond" w:hAnsi="Garamond" w:cs="Times New Roman"/>
                <w:b/>
                <w:color w:val="000000" w:themeColor="text1"/>
              </w:rPr>
              <w:t>70/148 = 47%</w:t>
            </w:r>
          </w:p>
        </w:tc>
      </w:tr>
    </w:tbl>
    <w:p w:rsidR="009B775B" w:rsidRDefault="009B775B" w:rsidP="009B775B">
      <w:pPr>
        <w:rPr>
          <w:rFonts w:cs="Times New Roman"/>
          <w:color w:val="000000" w:themeColor="text1"/>
        </w:rPr>
      </w:pPr>
      <w:r>
        <w:rPr>
          <w:rFonts w:cs="Times New Roman"/>
          <w:color w:val="000000" w:themeColor="text1"/>
        </w:rPr>
        <w:t>*</w:t>
      </w:r>
      <w:r w:rsidRPr="00701FF6">
        <w:rPr>
          <w:rFonts w:cs="Times New Roman"/>
          <w:color w:val="000000" w:themeColor="text1"/>
          <w:sz w:val="18"/>
          <w:szCs w:val="18"/>
        </w:rPr>
        <w:t>SB = small business</w:t>
      </w:r>
    </w:p>
    <w:p w:rsidR="00A114B5" w:rsidRDefault="00855963" w:rsidP="00A114B5">
      <w:pPr>
        <w:spacing w:after="0"/>
        <w:jc w:val="center"/>
        <w:rPr>
          <w:rFonts w:cs="Times New Roman"/>
          <w:b/>
          <w:smallCaps/>
          <w:color w:val="000000" w:themeColor="text1"/>
        </w:rPr>
      </w:pPr>
      <w:r>
        <w:rPr>
          <w:rFonts w:cs="Times New Roman"/>
          <w:b/>
          <w:smallCaps/>
          <w:color w:val="000000" w:themeColor="text1"/>
        </w:rPr>
        <w:br w:type="column"/>
      </w:r>
      <w:r w:rsidR="00A114B5">
        <w:rPr>
          <w:rFonts w:cs="Times New Roman"/>
          <w:b/>
          <w:smallCaps/>
          <w:color w:val="000000" w:themeColor="text1"/>
        </w:rPr>
        <w:lastRenderedPageBreak/>
        <w:t>Table VI: 346 Days and Beyond – Small Business Plan-Proposal</w:t>
      </w:r>
    </w:p>
    <w:p w:rsidR="00A114B5" w:rsidRPr="001837D6" w:rsidRDefault="00A114B5" w:rsidP="00A114B5">
      <w:pPr>
        <w:spacing w:after="0"/>
        <w:jc w:val="center"/>
        <w:rPr>
          <w:rFonts w:cs="Times New Roman"/>
          <w:b/>
          <w:smallCaps/>
          <w:color w:val="000000" w:themeColor="text1"/>
        </w:rPr>
      </w:pPr>
      <w:r>
        <w:rPr>
          <w:rFonts w:cs="Times New Roman"/>
          <w:b/>
          <w:smallCaps/>
          <w:color w:val="000000" w:themeColor="text1"/>
        </w:rPr>
        <w:t>and Plan-Confirmation Rates Taking Account of Groups of Affiliated Debtors</w:t>
      </w:r>
    </w:p>
    <w:tbl>
      <w:tblPr>
        <w:tblStyle w:val="TableGrid"/>
        <w:tblW w:w="9018" w:type="dxa"/>
        <w:tblLayout w:type="fixed"/>
        <w:tblLook w:val="04A0" w:firstRow="1" w:lastRow="0" w:firstColumn="1" w:lastColumn="0" w:noHBand="0" w:noVBand="1"/>
      </w:tblPr>
      <w:tblGrid>
        <w:gridCol w:w="558"/>
        <w:gridCol w:w="1530"/>
        <w:gridCol w:w="1009"/>
        <w:gridCol w:w="1158"/>
        <w:gridCol w:w="1253"/>
        <w:gridCol w:w="1620"/>
        <w:gridCol w:w="1890"/>
      </w:tblGrid>
      <w:tr w:rsidR="00A114B5" w:rsidTr="004A02BD">
        <w:tc>
          <w:tcPr>
            <w:tcW w:w="558" w:type="dxa"/>
          </w:tcPr>
          <w:p w:rsidR="00A114B5" w:rsidRDefault="00A114B5" w:rsidP="004A02BD">
            <w:pPr>
              <w:jc w:val="center"/>
              <w:rPr>
                <w:rFonts w:ascii="Garamond" w:hAnsi="Garamond" w:cs="Times New Roman"/>
                <w:b/>
                <w:smallCaps/>
                <w:color w:val="000000" w:themeColor="text1"/>
              </w:rPr>
            </w:pPr>
          </w:p>
        </w:tc>
        <w:tc>
          <w:tcPr>
            <w:tcW w:w="1530" w:type="dxa"/>
          </w:tcPr>
          <w:p w:rsidR="00A114B5" w:rsidRDefault="00A114B5" w:rsidP="004A02BD">
            <w:pPr>
              <w:jc w:val="center"/>
              <w:rPr>
                <w:rFonts w:ascii="Garamond" w:hAnsi="Garamond" w:cs="Times New Roman"/>
                <w:color w:val="000000" w:themeColor="text1"/>
              </w:rPr>
            </w:pPr>
            <w:r>
              <w:rPr>
                <w:rFonts w:ascii="Garamond" w:hAnsi="Garamond" w:cs="Times New Roman"/>
                <w:b/>
                <w:smallCaps/>
                <w:color w:val="000000" w:themeColor="text1"/>
              </w:rPr>
              <w:t>A</w:t>
            </w:r>
          </w:p>
        </w:tc>
        <w:tc>
          <w:tcPr>
            <w:tcW w:w="1009" w:type="dxa"/>
          </w:tcPr>
          <w:p w:rsidR="00A114B5" w:rsidRPr="00430C25" w:rsidRDefault="00A114B5" w:rsidP="004A02BD">
            <w:pPr>
              <w:jc w:val="center"/>
              <w:rPr>
                <w:rFonts w:ascii="Garamond" w:hAnsi="Garamond" w:cs="Times New Roman"/>
                <w:b/>
                <w:color w:val="000000" w:themeColor="text1"/>
              </w:rPr>
            </w:pPr>
            <w:r>
              <w:rPr>
                <w:rFonts w:ascii="Garamond" w:hAnsi="Garamond" w:cs="Times New Roman"/>
                <w:b/>
                <w:color w:val="000000" w:themeColor="text1"/>
              </w:rPr>
              <w:t>B</w:t>
            </w:r>
          </w:p>
        </w:tc>
        <w:tc>
          <w:tcPr>
            <w:tcW w:w="1158" w:type="dxa"/>
          </w:tcPr>
          <w:p w:rsidR="00A114B5" w:rsidRPr="00430C25" w:rsidRDefault="00A114B5" w:rsidP="004A02BD">
            <w:pPr>
              <w:jc w:val="center"/>
              <w:rPr>
                <w:rFonts w:ascii="Garamond" w:hAnsi="Garamond" w:cs="Times New Roman"/>
                <w:b/>
                <w:color w:val="000000" w:themeColor="text1"/>
              </w:rPr>
            </w:pPr>
            <w:r>
              <w:rPr>
                <w:rFonts w:ascii="Garamond" w:hAnsi="Garamond" w:cs="Times New Roman"/>
                <w:b/>
                <w:color w:val="000000" w:themeColor="text1"/>
              </w:rPr>
              <w:t>C</w:t>
            </w:r>
          </w:p>
        </w:tc>
        <w:tc>
          <w:tcPr>
            <w:tcW w:w="1253" w:type="dxa"/>
          </w:tcPr>
          <w:p w:rsidR="00A114B5" w:rsidRPr="00430C25" w:rsidRDefault="00A114B5" w:rsidP="004A02BD">
            <w:pPr>
              <w:jc w:val="center"/>
              <w:rPr>
                <w:rFonts w:ascii="Garamond" w:hAnsi="Garamond" w:cs="Times New Roman"/>
                <w:b/>
                <w:color w:val="000000" w:themeColor="text1"/>
              </w:rPr>
            </w:pPr>
            <w:r>
              <w:rPr>
                <w:rFonts w:ascii="Garamond" w:hAnsi="Garamond" w:cs="Times New Roman"/>
                <w:b/>
                <w:color w:val="000000" w:themeColor="text1"/>
              </w:rPr>
              <w:t>D</w:t>
            </w:r>
          </w:p>
        </w:tc>
        <w:tc>
          <w:tcPr>
            <w:tcW w:w="1620" w:type="dxa"/>
          </w:tcPr>
          <w:p w:rsidR="00A114B5" w:rsidRPr="00430C25" w:rsidRDefault="00A114B5" w:rsidP="004A02BD">
            <w:pPr>
              <w:jc w:val="center"/>
              <w:rPr>
                <w:rFonts w:ascii="Garamond" w:hAnsi="Garamond" w:cs="Times New Roman"/>
                <w:b/>
                <w:color w:val="000000" w:themeColor="text1"/>
              </w:rPr>
            </w:pPr>
            <w:r>
              <w:rPr>
                <w:rFonts w:ascii="Garamond" w:hAnsi="Garamond" w:cs="Times New Roman"/>
                <w:b/>
                <w:color w:val="000000" w:themeColor="text1"/>
              </w:rPr>
              <w:t>E</w:t>
            </w:r>
          </w:p>
        </w:tc>
        <w:tc>
          <w:tcPr>
            <w:tcW w:w="1890" w:type="dxa"/>
          </w:tcPr>
          <w:p w:rsidR="00A114B5" w:rsidRPr="00430C25" w:rsidRDefault="00A114B5" w:rsidP="004A02BD">
            <w:pPr>
              <w:jc w:val="center"/>
              <w:rPr>
                <w:rFonts w:ascii="Garamond" w:hAnsi="Garamond" w:cs="Times New Roman"/>
                <w:b/>
                <w:color w:val="000000" w:themeColor="text1"/>
              </w:rPr>
            </w:pPr>
            <w:r>
              <w:rPr>
                <w:rFonts w:ascii="Garamond" w:hAnsi="Garamond" w:cs="Times New Roman"/>
                <w:b/>
                <w:color w:val="000000" w:themeColor="text1"/>
              </w:rPr>
              <w:t>F</w:t>
            </w:r>
          </w:p>
        </w:tc>
      </w:tr>
      <w:tr w:rsidR="00A114B5" w:rsidTr="004A02BD">
        <w:tc>
          <w:tcPr>
            <w:tcW w:w="558" w:type="dxa"/>
          </w:tcPr>
          <w:p w:rsidR="00A114B5" w:rsidRDefault="00A114B5" w:rsidP="004A02BD">
            <w:pPr>
              <w:jc w:val="center"/>
              <w:rPr>
                <w:rFonts w:ascii="Garamond" w:hAnsi="Garamond" w:cs="Times New Roman"/>
                <w:b/>
                <w:smallCaps/>
                <w:color w:val="000000" w:themeColor="text1"/>
              </w:rPr>
            </w:pPr>
          </w:p>
        </w:tc>
        <w:tc>
          <w:tcPr>
            <w:tcW w:w="1530" w:type="dxa"/>
          </w:tcPr>
          <w:p w:rsidR="00A114B5" w:rsidRDefault="00A114B5" w:rsidP="004A02BD">
            <w:pPr>
              <w:jc w:val="center"/>
              <w:rPr>
                <w:rFonts w:ascii="Garamond" w:hAnsi="Garamond" w:cs="Times New Roman"/>
                <w:color w:val="000000" w:themeColor="text1"/>
              </w:rPr>
            </w:pPr>
            <w:r>
              <w:rPr>
                <w:rFonts w:ascii="Garamond" w:hAnsi="Garamond" w:cs="Times New Roman"/>
                <w:b/>
                <w:smallCaps/>
                <w:color w:val="000000" w:themeColor="text1"/>
              </w:rPr>
              <w:t>T</w:t>
            </w:r>
            <w:r>
              <w:rPr>
                <w:rFonts w:ascii="Garamond" w:hAnsi="Garamond" w:cs="Times New Roman"/>
                <w:b/>
                <w:color w:val="000000" w:themeColor="text1"/>
              </w:rPr>
              <w:t>ime to Disposition</w:t>
            </w:r>
          </w:p>
        </w:tc>
        <w:tc>
          <w:tcPr>
            <w:tcW w:w="1009" w:type="dxa"/>
          </w:tcPr>
          <w:p w:rsidR="00A114B5" w:rsidRPr="00430C25" w:rsidRDefault="00A114B5" w:rsidP="004A02BD">
            <w:pPr>
              <w:jc w:val="center"/>
              <w:rPr>
                <w:rFonts w:ascii="Garamond" w:hAnsi="Garamond" w:cs="Times New Roman"/>
                <w:b/>
                <w:color w:val="000000" w:themeColor="text1"/>
              </w:rPr>
            </w:pPr>
            <w:r>
              <w:rPr>
                <w:rFonts w:ascii="Garamond" w:hAnsi="Garamond" w:cs="Times New Roman"/>
                <w:b/>
                <w:color w:val="000000" w:themeColor="text1"/>
              </w:rPr>
              <w:t>No. of SB</w:t>
            </w:r>
            <w:r>
              <w:rPr>
                <w:rFonts w:ascii="Garamond" w:hAnsi="Garamond" w:cs="Times New Roman"/>
                <w:b/>
                <w:color w:val="000000" w:themeColor="text1"/>
                <w:vertAlign w:val="superscript"/>
              </w:rPr>
              <w:t>*</w:t>
            </w:r>
            <w:r>
              <w:rPr>
                <w:rFonts w:ascii="Garamond" w:hAnsi="Garamond" w:cs="Times New Roman"/>
                <w:b/>
                <w:color w:val="000000" w:themeColor="text1"/>
              </w:rPr>
              <w:t xml:space="preserve"> Cases</w:t>
            </w:r>
          </w:p>
        </w:tc>
        <w:tc>
          <w:tcPr>
            <w:tcW w:w="1158" w:type="dxa"/>
          </w:tcPr>
          <w:p w:rsidR="00A114B5" w:rsidRPr="00430C25" w:rsidRDefault="00A114B5" w:rsidP="004A02BD">
            <w:pPr>
              <w:jc w:val="center"/>
              <w:rPr>
                <w:rFonts w:ascii="Garamond" w:hAnsi="Garamond" w:cs="Times New Roman"/>
                <w:b/>
                <w:color w:val="000000" w:themeColor="text1"/>
              </w:rPr>
            </w:pPr>
            <w:r w:rsidRPr="00430C25">
              <w:rPr>
                <w:rFonts w:ascii="Garamond" w:hAnsi="Garamond" w:cs="Times New Roman"/>
                <w:b/>
                <w:color w:val="000000" w:themeColor="text1"/>
              </w:rPr>
              <w:t>N</w:t>
            </w:r>
            <w:r>
              <w:rPr>
                <w:rFonts w:ascii="Garamond" w:hAnsi="Garamond" w:cs="Times New Roman"/>
                <w:b/>
                <w:color w:val="000000" w:themeColor="text1"/>
              </w:rPr>
              <w:t>o.</w:t>
            </w:r>
            <w:r w:rsidRPr="00430C25">
              <w:rPr>
                <w:rFonts w:ascii="Garamond" w:hAnsi="Garamond" w:cs="Times New Roman"/>
                <w:b/>
                <w:color w:val="000000" w:themeColor="text1"/>
              </w:rPr>
              <w:t xml:space="preserve"> proposing plans</w:t>
            </w:r>
          </w:p>
        </w:tc>
        <w:tc>
          <w:tcPr>
            <w:tcW w:w="1253" w:type="dxa"/>
          </w:tcPr>
          <w:p w:rsidR="00A114B5" w:rsidRPr="00430C25" w:rsidRDefault="00A114B5" w:rsidP="004A02BD">
            <w:pPr>
              <w:jc w:val="center"/>
              <w:rPr>
                <w:rFonts w:ascii="Garamond" w:hAnsi="Garamond" w:cs="Times New Roman"/>
                <w:b/>
                <w:color w:val="000000" w:themeColor="text1"/>
              </w:rPr>
            </w:pPr>
            <w:r>
              <w:rPr>
                <w:rFonts w:ascii="Garamond" w:hAnsi="Garamond" w:cs="Times New Roman"/>
                <w:b/>
                <w:color w:val="000000" w:themeColor="text1"/>
              </w:rPr>
              <w:t xml:space="preserve">No. of  </w:t>
            </w:r>
            <w:r w:rsidRPr="00430C25">
              <w:rPr>
                <w:rFonts w:ascii="Garamond" w:hAnsi="Garamond" w:cs="Times New Roman"/>
                <w:b/>
                <w:color w:val="000000" w:themeColor="text1"/>
              </w:rPr>
              <w:t>confirmed plans</w:t>
            </w:r>
          </w:p>
        </w:tc>
        <w:tc>
          <w:tcPr>
            <w:tcW w:w="1620" w:type="dxa"/>
          </w:tcPr>
          <w:p w:rsidR="00A114B5" w:rsidRPr="00430C25" w:rsidRDefault="00A114B5" w:rsidP="004A02BD">
            <w:pPr>
              <w:jc w:val="center"/>
              <w:rPr>
                <w:rFonts w:ascii="Garamond" w:hAnsi="Garamond" w:cs="Times New Roman"/>
                <w:b/>
                <w:color w:val="000000" w:themeColor="text1"/>
              </w:rPr>
            </w:pPr>
            <w:r w:rsidRPr="00430C25">
              <w:rPr>
                <w:rFonts w:ascii="Garamond" w:hAnsi="Garamond" w:cs="Times New Roman"/>
                <w:b/>
                <w:color w:val="000000" w:themeColor="text1"/>
              </w:rPr>
              <w:t>% proposing plan</w:t>
            </w:r>
            <w:r>
              <w:rPr>
                <w:rFonts w:ascii="Garamond" w:hAnsi="Garamond" w:cs="Times New Roman"/>
                <w:b/>
                <w:color w:val="000000" w:themeColor="text1"/>
              </w:rPr>
              <w:t>s</w:t>
            </w:r>
          </w:p>
        </w:tc>
        <w:tc>
          <w:tcPr>
            <w:tcW w:w="1890" w:type="dxa"/>
          </w:tcPr>
          <w:p w:rsidR="00A114B5" w:rsidRPr="00430C25" w:rsidRDefault="00A114B5" w:rsidP="004A02BD">
            <w:pPr>
              <w:jc w:val="center"/>
              <w:rPr>
                <w:rFonts w:ascii="Garamond" w:hAnsi="Garamond" w:cs="Times New Roman"/>
                <w:b/>
                <w:color w:val="000000" w:themeColor="text1"/>
              </w:rPr>
            </w:pPr>
            <w:r w:rsidRPr="00430C25">
              <w:rPr>
                <w:rFonts w:ascii="Garamond" w:hAnsi="Garamond" w:cs="Times New Roman"/>
                <w:b/>
                <w:color w:val="000000" w:themeColor="text1"/>
              </w:rPr>
              <w:t>%</w:t>
            </w:r>
            <w:r>
              <w:rPr>
                <w:rFonts w:ascii="Garamond" w:hAnsi="Garamond" w:cs="Times New Roman"/>
                <w:b/>
                <w:color w:val="000000" w:themeColor="text1"/>
              </w:rPr>
              <w:t xml:space="preserve"> of all SB  confirming </w:t>
            </w:r>
            <w:r w:rsidRPr="00430C25">
              <w:rPr>
                <w:rFonts w:ascii="Garamond" w:hAnsi="Garamond" w:cs="Times New Roman"/>
                <w:b/>
                <w:color w:val="000000" w:themeColor="text1"/>
              </w:rPr>
              <w:t>plan</w:t>
            </w:r>
            <w:r>
              <w:rPr>
                <w:rFonts w:ascii="Garamond" w:hAnsi="Garamond" w:cs="Times New Roman"/>
                <w:b/>
                <w:color w:val="000000" w:themeColor="text1"/>
              </w:rPr>
              <w:t>s</w:t>
            </w:r>
          </w:p>
        </w:tc>
      </w:tr>
      <w:tr w:rsidR="00A114B5" w:rsidTr="004A02BD">
        <w:tc>
          <w:tcPr>
            <w:tcW w:w="558" w:type="dxa"/>
          </w:tcPr>
          <w:p w:rsidR="00A114B5" w:rsidRPr="00CA70F8" w:rsidRDefault="00A114B5" w:rsidP="004A02BD">
            <w:pPr>
              <w:jc w:val="center"/>
              <w:rPr>
                <w:rFonts w:ascii="Garamond" w:hAnsi="Garamond" w:cs="Times New Roman"/>
                <w:smallCaps/>
                <w:color w:val="000000" w:themeColor="text1"/>
              </w:rPr>
            </w:pPr>
            <w:r>
              <w:rPr>
                <w:rFonts w:ascii="Garamond" w:hAnsi="Garamond" w:cs="Times New Roman"/>
                <w:smallCaps/>
                <w:color w:val="000000" w:themeColor="text1"/>
              </w:rPr>
              <w:t>(1)</w:t>
            </w:r>
          </w:p>
        </w:tc>
        <w:tc>
          <w:tcPr>
            <w:tcW w:w="1530" w:type="dxa"/>
          </w:tcPr>
          <w:p w:rsidR="00A114B5" w:rsidRPr="00CA70F8" w:rsidRDefault="00A114B5" w:rsidP="004A02BD">
            <w:pPr>
              <w:jc w:val="center"/>
              <w:rPr>
                <w:rFonts w:ascii="Garamond" w:hAnsi="Garamond" w:cs="Times New Roman"/>
                <w:color w:val="000000" w:themeColor="text1"/>
              </w:rPr>
            </w:pPr>
            <w:r>
              <w:rPr>
                <w:rFonts w:ascii="Garamond" w:hAnsi="Garamond" w:cs="Times New Roman"/>
                <w:smallCaps/>
                <w:color w:val="000000" w:themeColor="text1"/>
              </w:rPr>
              <w:t xml:space="preserve">346 </w:t>
            </w:r>
            <w:r>
              <w:rPr>
                <w:rFonts w:ascii="Garamond" w:hAnsi="Garamond" w:cs="Times New Roman"/>
                <w:color w:val="000000" w:themeColor="text1"/>
              </w:rPr>
              <w:t>Days to 1 Year</w:t>
            </w:r>
          </w:p>
        </w:tc>
        <w:tc>
          <w:tcPr>
            <w:tcW w:w="1009" w:type="dxa"/>
          </w:tcPr>
          <w:p w:rsidR="00A114B5" w:rsidRDefault="00A114B5" w:rsidP="004A02BD">
            <w:pPr>
              <w:jc w:val="center"/>
              <w:rPr>
                <w:rFonts w:ascii="Garamond" w:hAnsi="Garamond" w:cs="Times New Roman"/>
                <w:b/>
                <w:color w:val="000000" w:themeColor="text1"/>
              </w:rPr>
            </w:pPr>
            <w:r w:rsidRPr="00EF359C">
              <w:rPr>
                <w:rFonts w:ascii="Garamond" w:hAnsi="Garamond" w:cs="Times New Roman"/>
                <w:color w:val="000000" w:themeColor="text1"/>
              </w:rPr>
              <w:t>1</w:t>
            </w:r>
            <w:r>
              <w:rPr>
                <w:rFonts w:ascii="Garamond" w:hAnsi="Garamond" w:cs="Times New Roman"/>
                <w:color w:val="000000" w:themeColor="text1"/>
              </w:rPr>
              <w:t>4</w:t>
            </w:r>
          </w:p>
        </w:tc>
        <w:tc>
          <w:tcPr>
            <w:tcW w:w="1158" w:type="dxa"/>
          </w:tcPr>
          <w:p w:rsidR="00A114B5" w:rsidRPr="00CA70F8" w:rsidRDefault="00A114B5" w:rsidP="004A02BD">
            <w:pPr>
              <w:jc w:val="center"/>
              <w:rPr>
                <w:rFonts w:ascii="Garamond" w:hAnsi="Garamond" w:cs="Times New Roman"/>
                <w:color w:val="000000" w:themeColor="text1"/>
              </w:rPr>
            </w:pPr>
            <w:r>
              <w:rPr>
                <w:rFonts w:ascii="Garamond" w:hAnsi="Garamond" w:cs="Times New Roman"/>
                <w:color w:val="000000" w:themeColor="text1"/>
              </w:rPr>
              <w:t>7</w:t>
            </w:r>
          </w:p>
        </w:tc>
        <w:tc>
          <w:tcPr>
            <w:tcW w:w="1253" w:type="dxa"/>
          </w:tcPr>
          <w:p w:rsidR="00A114B5" w:rsidRPr="00CA70F8" w:rsidRDefault="00A114B5" w:rsidP="004A02BD">
            <w:pPr>
              <w:jc w:val="center"/>
              <w:rPr>
                <w:rFonts w:ascii="Garamond" w:hAnsi="Garamond" w:cs="Times New Roman"/>
                <w:color w:val="000000" w:themeColor="text1"/>
              </w:rPr>
            </w:pPr>
            <w:r w:rsidRPr="00CA70F8">
              <w:rPr>
                <w:rFonts w:ascii="Garamond" w:hAnsi="Garamond" w:cs="Times New Roman"/>
                <w:color w:val="000000" w:themeColor="text1"/>
              </w:rPr>
              <w:t>1</w:t>
            </w:r>
          </w:p>
        </w:tc>
        <w:tc>
          <w:tcPr>
            <w:tcW w:w="1620" w:type="dxa"/>
          </w:tcPr>
          <w:p w:rsidR="00A114B5" w:rsidRPr="00CA70F8" w:rsidRDefault="00A114B5" w:rsidP="004A02BD">
            <w:pPr>
              <w:jc w:val="center"/>
              <w:rPr>
                <w:rFonts w:ascii="Garamond" w:hAnsi="Garamond" w:cs="Times New Roman"/>
                <w:color w:val="000000" w:themeColor="text1"/>
              </w:rPr>
            </w:pPr>
            <w:r>
              <w:rPr>
                <w:rFonts w:ascii="Garamond" w:hAnsi="Garamond" w:cs="Times New Roman"/>
                <w:color w:val="000000" w:themeColor="text1"/>
              </w:rPr>
              <w:t>7</w:t>
            </w:r>
            <w:r w:rsidRPr="00CA70F8">
              <w:rPr>
                <w:rFonts w:ascii="Garamond" w:hAnsi="Garamond" w:cs="Times New Roman"/>
                <w:color w:val="000000" w:themeColor="text1"/>
              </w:rPr>
              <w:t>/1</w:t>
            </w:r>
            <w:r>
              <w:rPr>
                <w:rFonts w:ascii="Garamond" w:hAnsi="Garamond" w:cs="Times New Roman"/>
                <w:color w:val="000000" w:themeColor="text1"/>
              </w:rPr>
              <w:t>4</w:t>
            </w:r>
            <w:r w:rsidRPr="00CA70F8">
              <w:rPr>
                <w:rFonts w:ascii="Garamond" w:hAnsi="Garamond" w:cs="Times New Roman"/>
                <w:color w:val="000000" w:themeColor="text1"/>
              </w:rPr>
              <w:t xml:space="preserve"> = </w:t>
            </w:r>
            <w:r>
              <w:rPr>
                <w:rFonts w:ascii="Garamond" w:hAnsi="Garamond" w:cs="Times New Roman"/>
                <w:color w:val="000000" w:themeColor="text1"/>
              </w:rPr>
              <w:t>50</w:t>
            </w:r>
            <w:r w:rsidRPr="00CA70F8">
              <w:rPr>
                <w:rFonts w:ascii="Garamond" w:hAnsi="Garamond" w:cs="Times New Roman"/>
                <w:color w:val="000000" w:themeColor="text1"/>
              </w:rPr>
              <w:t>%</w:t>
            </w:r>
          </w:p>
        </w:tc>
        <w:tc>
          <w:tcPr>
            <w:tcW w:w="1890" w:type="dxa"/>
          </w:tcPr>
          <w:p w:rsidR="00A114B5" w:rsidRPr="00CA70F8" w:rsidRDefault="00A114B5" w:rsidP="004A02BD">
            <w:pPr>
              <w:jc w:val="center"/>
              <w:rPr>
                <w:rFonts w:ascii="Garamond" w:hAnsi="Garamond" w:cs="Times New Roman"/>
                <w:color w:val="000000" w:themeColor="text1"/>
              </w:rPr>
            </w:pPr>
            <w:r w:rsidRPr="00CA70F8">
              <w:rPr>
                <w:rFonts w:ascii="Garamond" w:hAnsi="Garamond" w:cs="Times New Roman"/>
                <w:color w:val="000000" w:themeColor="text1"/>
              </w:rPr>
              <w:t>1/1</w:t>
            </w:r>
            <w:r>
              <w:rPr>
                <w:rFonts w:ascii="Garamond" w:hAnsi="Garamond" w:cs="Times New Roman"/>
                <w:color w:val="000000" w:themeColor="text1"/>
              </w:rPr>
              <w:t>4</w:t>
            </w:r>
            <w:r w:rsidRPr="00CA70F8">
              <w:rPr>
                <w:rFonts w:ascii="Garamond" w:hAnsi="Garamond" w:cs="Times New Roman"/>
                <w:color w:val="000000" w:themeColor="text1"/>
              </w:rPr>
              <w:t xml:space="preserve"> = 7.</w:t>
            </w:r>
            <w:r>
              <w:rPr>
                <w:rFonts w:ascii="Garamond" w:hAnsi="Garamond" w:cs="Times New Roman"/>
                <w:color w:val="000000" w:themeColor="text1"/>
              </w:rPr>
              <w:t>1</w:t>
            </w:r>
            <w:r w:rsidRPr="00CA70F8">
              <w:rPr>
                <w:rFonts w:ascii="Garamond" w:hAnsi="Garamond" w:cs="Times New Roman"/>
                <w:color w:val="000000" w:themeColor="text1"/>
              </w:rPr>
              <w:t>%</w:t>
            </w:r>
          </w:p>
        </w:tc>
      </w:tr>
      <w:tr w:rsidR="00A114B5" w:rsidTr="004A02BD">
        <w:trPr>
          <w:cantSplit/>
        </w:trPr>
        <w:tc>
          <w:tcPr>
            <w:tcW w:w="558" w:type="dxa"/>
          </w:tcPr>
          <w:p w:rsidR="00A114B5" w:rsidRDefault="00A114B5" w:rsidP="004A02BD">
            <w:pPr>
              <w:jc w:val="center"/>
              <w:rPr>
                <w:rFonts w:ascii="Garamond" w:hAnsi="Garamond" w:cs="Times New Roman"/>
                <w:color w:val="000000" w:themeColor="text1"/>
              </w:rPr>
            </w:pPr>
            <w:r>
              <w:rPr>
                <w:rFonts w:ascii="Garamond" w:hAnsi="Garamond" w:cs="Times New Roman"/>
                <w:color w:val="000000" w:themeColor="text1"/>
              </w:rPr>
              <w:t>(2)</w:t>
            </w:r>
          </w:p>
        </w:tc>
        <w:tc>
          <w:tcPr>
            <w:tcW w:w="1530" w:type="dxa"/>
          </w:tcPr>
          <w:p w:rsidR="00A114B5" w:rsidRDefault="00A114B5" w:rsidP="004A02BD">
            <w:pPr>
              <w:jc w:val="center"/>
              <w:rPr>
                <w:rFonts w:ascii="Garamond" w:hAnsi="Garamond" w:cs="Times New Roman"/>
                <w:color w:val="000000" w:themeColor="text1"/>
              </w:rPr>
            </w:pPr>
            <w:r>
              <w:rPr>
                <w:rFonts w:ascii="Garamond" w:hAnsi="Garamond" w:cs="Times New Roman"/>
                <w:color w:val="000000" w:themeColor="text1"/>
              </w:rPr>
              <w:t>366 – 456 Days (15 mos.)</w:t>
            </w:r>
          </w:p>
        </w:tc>
        <w:tc>
          <w:tcPr>
            <w:tcW w:w="1009" w:type="dxa"/>
          </w:tcPr>
          <w:p w:rsidR="00A114B5" w:rsidRDefault="00A114B5" w:rsidP="004A02BD">
            <w:pPr>
              <w:jc w:val="center"/>
              <w:rPr>
                <w:rFonts w:ascii="Garamond" w:hAnsi="Garamond" w:cs="Times New Roman"/>
                <w:color w:val="000000" w:themeColor="text1"/>
              </w:rPr>
            </w:pPr>
            <w:r>
              <w:rPr>
                <w:rFonts w:ascii="Garamond" w:hAnsi="Garamond" w:cs="Times New Roman"/>
                <w:color w:val="000000" w:themeColor="text1"/>
              </w:rPr>
              <w:t>43</w:t>
            </w:r>
          </w:p>
        </w:tc>
        <w:tc>
          <w:tcPr>
            <w:tcW w:w="1158" w:type="dxa"/>
          </w:tcPr>
          <w:p w:rsidR="00A114B5" w:rsidRDefault="00A114B5" w:rsidP="004A02BD">
            <w:pPr>
              <w:jc w:val="center"/>
              <w:rPr>
                <w:rFonts w:ascii="Garamond" w:hAnsi="Garamond" w:cs="Times New Roman"/>
                <w:color w:val="000000" w:themeColor="text1"/>
              </w:rPr>
            </w:pPr>
            <w:r>
              <w:rPr>
                <w:rFonts w:ascii="Garamond" w:hAnsi="Garamond" w:cs="Times New Roman"/>
                <w:color w:val="000000" w:themeColor="text1"/>
              </w:rPr>
              <w:t>30</w:t>
            </w:r>
          </w:p>
        </w:tc>
        <w:tc>
          <w:tcPr>
            <w:tcW w:w="1253" w:type="dxa"/>
          </w:tcPr>
          <w:p w:rsidR="00A114B5" w:rsidRPr="00547D53" w:rsidRDefault="00A114B5" w:rsidP="004A02BD">
            <w:pPr>
              <w:spacing w:after="100" w:afterAutospacing="1"/>
              <w:jc w:val="center"/>
              <w:rPr>
                <w:rFonts w:ascii="Garamond" w:hAnsi="Garamond" w:cs="Times New Roman"/>
                <w:color w:val="000000" w:themeColor="text1"/>
              </w:rPr>
            </w:pPr>
            <w:r w:rsidRPr="00547D53">
              <w:rPr>
                <w:rFonts w:ascii="Garamond" w:hAnsi="Garamond" w:cs="Times New Roman"/>
                <w:color w:val="000000" w:themeColor="text1"/>
              </w:rPr>
              <w:t>1</w:t>
            </w:r>
            <w:r>
              <w:rPr>
                <w:rFonts w:ascii="Garamond" w:hAnsi="Garamond" w:cs="Times New Roman"/>
                <w:color w:val="000000" w:themeColor="text1"/>
              </w:rPr>
              <w:t>6</w:t>
            </w:r>
          </w:p>
          <w:p w:rsidR="00A114B5" w:rsidRDefault="00A114B5" w:rsidP="004A02BD">
            <w:pPr>
              <w:rPr>
                <w:rFonts w:ascii="Garamond" w:hAnsi="Garamond" w:cs="Times New Roman"/>
                <w:color w:val="000000" w:themeColor="text1"/>
              </w:rPr>
            </w:pPr>
          </w:p>
        </w:tc>
        <w:tc>
          <w:tcPr>
            <w:tcW w:w="1620" w:type="dxa"/>
          </w:tcPr>
          <w:p w:rsidR="00A114B5" w:rsidRDefault="00A114B5" w:rsidP="00A114B5">
            <w:pPr>
              <w:jc w:val="center"/>
              <w:rPr>
                <w:rFonts w:ascii="Garamond" w:hAnsi="Garamond" w:cs="Times New Roman"/>
                <w:color w:val="000000" w:themeColor="text1"/>
              </w:rPr>
            </w:pPr>
            <w:r>
              <w:rPr>
                <w:rFonts w:ascii="Garamond" w:hAnsi="Garamond" w:cs="Times New Roman"/>
                <w:color w:val="000000" w:themeColor="text1"/>
              </w:rPr>
              <w:t>30/43 = 70%</w:t>
            </w:r>
          </w:p>
        </w:tc>
        <w:tc>
          <w:tcPr>
            <w:tcW w:w="1890" w:type="dxa"/>
          </w:tcPr>
          <w:p w:rsidR="00A114B5" w:rsidRDefault="00A114B5" w:rsidP="002624F9">
            <w:pPr>
              <w:jc w:val="center"/>
              <w:rPr>
                <w:rFonts w:ascii="Garamond" w:hAnsi="Garamond" w:cs="Times New Roman"/>
                <w:color w:val="000000" w:themeColor="text1"/>
              </w:rPr>
            </w:pPr>
            <w:r>
              <w:rPr>
                <w:rFonts w:ascii="Garamond" w:hAnsi="Garamond" w:cs="Times New Roman"/>
              </w:rPr>
              <w:t>16/43 = 3</w:t>
            </w:r>
            <w:r w:rsidR="002624F9">
              <w:rPr>
                <w:rFonts w:ascii="Garamond" w:hAnsi="Garamond" w:cs="Times New Roman"/>
              </w:rPr>
              <w:t>7</w:t>
            </w:r>
            <w:r>
              <w:rPr>
                <w:rFonts w:ascii="Garamond" w:hAnsi="Garamond" w:cs="Times New Roman"/>
              </w:rPr>
              <w:t>%</w:t>
            </w:r>
          </w:p>
        </w:tc>
      </w:tr>
      <w:tr w:rsidR="00A114B5" w:rsidTr="004A02BD">
        <w:trPr>
          <w:trHeight w:val="530"/>
        </w:trPr>
        <w:tc>
          <w:tcPr>
            <w:tcW w:w="558" w:type="dxa"/>
          </w:tcPr>
          <w:p w:rsidR="00A114B5" w:rsidRDefault="00A114B5" w:rsidP="004A02BD">
            <w:pPr>
              <w:jc w:val="center"/>
              <w:rPr>
                <w:rFonts w:ascii="Garamond" w:hAnsi="Garamond" w:cs="Times New Roman"/>
                <w:color w:val="000000" w:themeColor="text1"/>
              </w:rPr>
            </w:pPr>
            <w:r>
              <w:rPr>
                <w:rFonts w:ascii="Garamond" w:hAnsi="Garamond" w:cs="Times New Roman"/>
                <w:color w:val="000000" w:themeColor="text1"/>
              </w:rPr>
              <w:t>(3)</w:t>
            </w:r>
          </w:p>
        </w:tc>
        <w:tc>
          <w:tcPr>
            <w:tcW w:w="1530" w:type="dxa"/>
          </w:tcPr>
          <w:p w:rsidR="00A114B5" w:rsidRDefault="00A114B5" w:rsidP="004A02BD">
            <w:pPr>
              <w:jc w:val="center"/>
              <w:rPr>
                <w:rFonts w:ascii="Garamond" w:hAnsi="Garamond" w:cs="Times New Roman"/>
                <w:color w:val="000000" w:themeColor="text1"/>
              </w:rPr>
            </w:pPr>
            <w:r>
              <w:rPr>
                <w:rFonts w:ascii="Garamond" w:hAnsi="Garamond" w:cs="Times New Roman"/>
                <w:color w:val="000000" w:themeColor="text1"/>
              </w:rPr>
              <w:t>457 – 547 Days (18 mos.)</w:t>
            </w:r>
          </w:p>
        </w:tc>
        <w:tc>
          <w:tcPr>
            <w:tcW w:w="1009" w:type="dxa"/>
          </w:tcPr>
          <w:p w:rsidR="00A114B5" w:rsidRDefault="00A114B5" w:rsidP="004A02BD">
            <w:pPr>
              <w:jc w:val="center"/>
              <w:rPr>
                <w:rFonts w:ascii="Garamond" w:hAnsi="Garamond" w:cs="Times New Roman"/>
                <w:color w:val="000000" w:themeColor="text1"/>
              </w:rPr>
            </w:pPr>
            <w:r>
              <w:rPr>
                <w:rFonts w:ascii="Garamond" w:hAnsi="Garamond" w:cs="Times New Roman"/>
                <w:color w:val="000000" w:themeColor="text1"/>
              </w:rPr>
              <w:t>22</w:t>
            </w:r>
          </w:p>
        </w:tc>
        <w:tc>
          <w:tcPr>
            <w:tcW w:w="1158" w:type="dxa"/>
          </w:tcPr>
          <w:p w:rsidR="00A114B5" w:rsidRDefault="00A114B5" w:rsidP="002624F9">
            <w:pPr>
              <w:jc w:val="center"/>
              <w:rPr>
                <w:rFonts w:ascii="Garamond" w:hAnsi="Garamond" w:cs="Times New Roman"/>
                <w:color w:val="000000" w:themeColor="text1"/>
              </w:rPr>
            </w:pPr>
            <w:r>
              <w:rPr>
                <w:rFonts w:ascii="Garamond" w:hAnsi="Garamond" w:cs="Times New Roman"/>
                <w:color w:val="000000" w:themeColor="text1"/>
              </w:rPr>
              <w:t>1</w:t>
            </w:r>
            <w:r w:rsidR="002624F9">
              <w:rPr>
                <w:rFonts w:ascii="Garamond" w:hAnsi="Garamond" w:cs="Times New Roman"/>
                <w:color w:val="000000" w:themeColor="text1"/>
              </w:rPr>
              <w:t>4</w:t>
            </w:r>
          </w:p>
        </w:tc>
        <w:tc>
          <w:tcPr>
            <w:tcW w:w="1253" w:type="dxa"/>
          </w:tcPr>
          <w:p w:rsidR="00A114B5" w:rsidRDefault="002624F9" w:rsidP="002624F9">
            <w:pPr>
              <w:jc w:val="center"/>
              <w:rPr>
                <w:rFonts w:ascii="Garamond" w:hAnsi="Garamond" w:cs="Times New Roman"/>
                <w:color w:val="000000" w:themeColor="text1"/>
              </w:rPr>
            </w:pPr>
            <w:r>
              <w:rPr>
                <w:rFonts w:ascii="Garamond" w:hAnsi="Garamond" w:cs="Times New Roman"/>
                <w:color w:val="000000" w:themeColor="text1"/>
              </w:rPr>
              <w:t>8</w:t>
            </w:r>
          </w:p>
        </w:tc>
        <w:tc>
          <w:tcPr>
            <w:tcW w:w="1620" w:type="dxa"/>
          </w:tcPr>
          <w:p w:rsidR="00A114B5" w:rsidRDefault="00A114B5" w:rsidP="002624F9">
            <w:pPr>
              <w:jc w:val="center"/>
              <w:rPr>
                <w:rFonts w:ascii="Garamond" w:hAnsi="Garamond" w:cs="Times New Roman"/>
                <w:color w:val="000000" w:themeColor="text1"/>
              </w:rPr>
            </w:pPr>
            <w:r>
              <w:rPr>
                <w:rFonts w:ascii="Garamond" w:hAnsi="Garamond" w:cs="Times New Roman"/>
                <w:color w:val="000000" w:themeColor="text1"/>
              </w:rPr>
              <w:t>1</w:t>
            </w:r>
            <w:r w:rsidR="002624F9">
              <w:rPr>
                <w:rFonts w:ascii="Garamond" w:hAnsi="Garamond" w:cs="Times New Roman"/>
                <w:color w:val="000000" w:themeColor="text1"/>
              </w:rPr>
              <w:t>4</w:t>
            </w:r>
            <w:r>
              <w:rPr>
                <w:rFonts w:ascii="Garamond" w:hAnsi="Garamond" w:cs="Times New Roman"/>
                <w:color w:val="000000" w:themeColor="text1"/>
              </w:rPr>
              <w:t>/2</w:t>
            </w:r>
            <w:r w:rsidR="002624F9">
              <w:rPr>
                <w:rFonts w:ascii="Garamond" w:hAnsi="Garamond" w:cs="Times New Roman"/>
                <w:color w:val="000000" w:themeColor="text1"/>
              </w:rPr>
              <w:t>2</w:t>
            </w:r>
            <w:r>
              <w:rPr>
                <w:rFonts w:ascii="Garamond" w:hAnsi="Garamond" w:cs="Times New Roman"/>
                <w:color w:val="000000" w:themeColor="text1"/>
              </w:rPr>
              <w:t xml:space="preserve"> = 6</w:t>
            </w:r>
            <w:r w:rsidR="002624F9">
              <w:rPr>
                <w:rFonts w:ascii="Garamond" w:hAnsi="Garamond" w:cs="Times New Roman"/>
                <w:color w:val="000000" w:themeColor="text1"/>
              </w:rPr>
              <w:t>4</w:t>
            </w:r>
            <w:r>
              <w:rPr>
                <w:rFonts w:ascii="Garamond" w:hAnsi="Garamond" w:cs="Times New Roman"/>
                <w:color w:val="000000" w:themeColor="text1"/>
              </w:rPr>
              <w:t>%</w:t>
            </w:r>
          </w:p>
        </w:tc>
        <w:tc>
          <w:tcPr>
            <w:tcW w:w="1890" w:type="dxa"/>
          </w:tcPr>
          <w:p w:rsidR="00A114B5" w:rsidRDefault="002624F9" w:rsidP="002624F9">
            <w:pPr>
              <w:jc w:val="center"/>
              <w:rPr>
                <w:rFonts w:ascii="Garamond" w:hAnsi="Garamond" w:cs="Times New Roman"/>
                <w:color w:val="000000" w:themeColor="text1"/>
              </w:rPr>
            </w:pPr>
            <w:r>
              <w:rPr>
                <w:rFonts w:ascii="Garamond" w:hAnsi="Garamond" w:cs="Times New Roman"/>
                <w:color w:val="000000" w:themeColor="text1"/>
              </w:rPr>
              <w:t>8</w:t>
            </w:r>
            <w:r w:rsidR="00A114B5">
              <w:rPr>
                <w:rFonts w:ascii="Garamond" w:hAnsi="Garamond" w:cs="Times New Roman"/>
                <w:color w:val="000000" w:themeColor="text1"/>
              </w:rPr>
              <w:t>/2</w:t>
            </w:r>
            <w:r>
              <w:rPr>
                <w:rFonts w:ascii="Garamond" w:hAnsi="Garamond" w:cs="Times New Roman"/>
                <w:color w:val="000000" w:themeColor="text1"/>
              </w:rPr>
              <w:t>2 = 36</w:t>
            </w:r>
            <w:r w:rsidR="00A114B5">
              <w:rPr>
                <w:rFonts w:ascii="Garamond" w:hAnsi="Garamond" w:cs="Times New Roman"/>
                <w:color w:val="000000" w:themeColor="text1"/>
              </w:rPr>
              <w:t>%</w:t>
            </w:r>
          </w:p>
        </w:tc>
      </w:tr>
      <w:tr w:rsidR="00A114B5" w:rsidTr="004A02BD">
        <w:tc>
          <w:tcPr>
            <w:tcW w:w="558" w:type="dxa"/>
          </w:tcPr>
          <w:p w:rsidR="00A114B5" w:rsidRDefault="00A114B5" w:rsidP="004A02BD">
            <w:pPr>
              <w:jc w:val="center"/>
              <w:rPr>
                <w:rFonts w:ascii="Garamond" w:hAnsi="Garamond" w:cs="Times New Roman"/>
                <w:color w:val="000000" w:themeColor="text1"/>
              </w:rPr>
            </w:pPr>
            <w:r>
              <w:rPr>
                <w:rFonts w:ascii="Garamond" w:hAnsi="Garamond" w:cs="Times New Roman"/>
                <w:color w:val="000000" w:themeColor="text1"/>
              </w:rPr>
              <w:t>(4)</w:t>
            </w:r>
          </w:p>
        </w:tc>
        <w:tc>
          <w:tcPr>
            <w:tcW w:w="1530" w:type="dxa"/>
          </w:tcPr>
          <w:p w:rsidR="00A114B5" w:rsidRDefault="00A114B5" w:rsidP="004A02BD">
            <w:pPr>
              <w:jc w:val="center"/>
              <w:rPr>
                <w:rFonts w:ascii="Garamond" w:hAnsi="Garamond" w:cs="Times New Roman"/>
                <w:color w:val="000000" w:themeColor="text1"/>
              </w:rPr>
            </w:pPr>
            <w:r>
              <w:rPr>
                <w:rFonts w:ascii="Garamond" w:hAnsi="Garamond" w:cs="Times New Roman"/>
                <w:color w:val="000000" w:themeColor="text1"/>
              </w:rPr>
              <w:t>548 Days to 2 Years</w:t>
            </w:r>
          </w:p>
        </w:tc>
        <w:tc>
          <w:tcPr>
            <w:tcW w:w="1009" w:type="dxa"/>
          </w:tcPr>
          <w:p w:rsidR="00A114B5" w:rsidRDefault="00A114B5" w:rsidP="004A02BD">
            <w:pPr>
              <w:jc w:val="center"/>
              <w:rPr>
                <w:rFonts w:ascii="Garamond" w:hAnsi="Garamond" w:cs="Times New Roman"/>
                <w:color w:val="000000" w:themeColor="text1"/>
              </w:rPr>
            </w:pPr>
            <w:r>
              <w:rPr>
                <w:rFonts w:ascii="Garamond" w:hAnsi="Garamond" w:cs="Times New Roman"/>
                <w:color w:val="000000" w:themeColor="text1"/>
              </w:rPr>
              <w:t>38</w:t>
            </w:r>
          </w:p>
        </w:tc>
        <w:tc>
          <w:tcPr>
            <w:tcW w:w="1158" w:type="dxa"/>
          </w:tcPr>
          <w:p w:rsidR="00A114B5" w:rsidRDefault="002624F9" w:rsidP="004A02BD">
            <w:pPr>
              <w:jc w:val="center"/>
              <w:rPr>
                <w:rFonts w:ascii="Garamond" w:hAnsi="Garamond" w:cs="Times New Roman"/>
                <w:color w:val="000000" w:themeColor="text1"/>
              </w:rPr>
            </w:pPr>
            <w:r>
              <w:rPr>
                <w:rFonts w:ascii="Garamond" w:hAnsi="Garamond" w:cs="Times New Roman"/>
                <w:color w:val="000000" w:themeColor="text1"/>
              </w:rPr>
              <w:t>30</w:t>
            </w:r>
          </w:p>
        </w:tc>
        <w:tc>
          <w:tcPr>
            <w:tcW w:w="1253" w:type="dxa"/>
          </w:tcPr>
          <w:p w:rsidR="00A114B5" w:rsidRDefault="00A114B5" w:rsidP="002624F9">
            <w:pPr>
              <w:jc w:val="center"/>
              <w:rPr>
                <w:rFonts w:ascii="Garamond" w:hAnsi="Garamond" w:cs="Times New Roman"/>
                <w:color w:val="000000" w:themeColor="text1"/>
              </w:rPr>
            </w:pPr>
            <w:r>
              <w:rPr>
                <w:rFonts w:ascii="Garamond" w:hAnsi="Garamond" w:cs="Times New Roman"/>
                <w:color w:val="000000" w:themeColor="text1"/>
              </w:rPr>
              <w:t>2</w:t>
            </w:r>
            <w:r w:rsidR="002624F9">
              <w:rPr>
                <w:rFonts w:ascii="Garamond" w:hAnsi="Garamond" w:cs="Times New Roman"/>
                <w:color w:val="000000" w:themeColor="text1"/>
              </w:rPr>
              <w:t>3</w:t>
            </w:r>
          </w:p>
        </w:tc>
        <w:tc>
          <w:tcPr>
            <w:tcW w:w="1620" w:type="dxa"/>
          </w:tcPr>
          <w:p w:rsidR="00A114B5" w:rsidRDefault="00A114B5" w:rsidP="002624F9">
            <w:pPr>
              <w:jc w:val="center"/>
              <w:rPr>
                <w:rFonts w:ascii="Garamond" w:hAnsi="Garamond" w:cs="Times New Roman"/>
                <w:color w:val="000000" w:themeColor="text1"/>
              </w:rPr>
            </w:pPr>
            <w:r>
              <w:rPr>
                <w:rFonts w:ascii="Garamond" w:hAnsi="Garamond" w:cs="Times New Roman"/>
                <w:color w:val="000000" w:themeColor="text1"/>
              </w:rPr>
              <w:t>3</w:t>
            </w:r>
            <w:r w:rsidR="002624F9">
              <w:rPr>
                <w:rFonts w:ascii="Garamond" w:hAnsi="Garamond" w:cs="Times New Roman"/>
                <w:color w:val="000000" w:themeColor="text1"/>
              </w:rPr>
              <w:t>0/38</w:t>
            </w:r>
            <w:r>
              <w:rPr>
                <w:rFonts w:ascii="Garamond" w:hAnsi="Garamond" w:cs="Times New Roman"/>
                <w:color w:val="000000" w:themeColor="text1"/>
              </w:rPr>
              <w:t xml:space="preserve"> = </w:t>
            </w:r>
            <w:r w:rsidR="002624F9">
              <w:rPr>
                <w:rFonts w:ascii="Garamond" w:hAnsi="Garamond" w:cs="Times New Roman"/>
                <w:color w:val="000000" w:themeColor="text1"/>
              </w:rPr>
              <w:t>79</w:t>
            </w:r>
            <w:r>
              <w:rPr>
                <w:rFonts w:ascii="Garamond" w:hAnsi="Garamond" w:cs="Times New Roman"/>
                <w:color w:val="000000" w:themeColor="text1"/>
              </w:rPr>
              <w:t>%</w:t>
            </w:r>
          </w:p>
        </w:tc>
        <w:tc>
          <w:tcPr>
            <w:tcW w:w="1890" w:type="dxa"/>
          </w:tcPr>
          <w:p w:rsidR="00A114B5" w:rsidRDefault="00A114B5" w:rsidP="002624F9">
            <w:pPr>
              <w:jc w:val="center"/>
              <w:rPr>
                <w:rFonts w:ascii="Garamond" w:hAnsi="Garamond" w:cs="Times New Roman"/>
                <w:color w:val="000000" w:themeColor="text1"/>
              </w:rPr>
            </w:pPr>
            <w:r>
              <w:rPr>
                <w:rFonts w:ascii="Garamond" w:hAnsi="Garamond" w:cs="Times New Roman"/>
                <w:color w:val="000000" w:themeColor="text1"/>
              </w:rPr>
              <w:t>2</w:t>
            </w:r>
            <w:r w:rsidR="002624F9">
              <w:rPr>
                <w:rFonts w:ascii="Garamond" w:hAnsi="Garamond" w:cs="Times New Roman"/>
                <w:color w:val="000000" w:themeColor="text1"/>
              </w:rPr>
              <w:t>3</w:t>
            </w:r>
            <w:r>
              <w:rPr>
                <w:rFonts w:ascii="Garamond" w:hAnsi="Garamond" w:cs="Times New Roman"/>
                <w:color w:val="000000" w:themeColor="text1"/>
              </w:rPr>
              <w:t>/</w:t>
            </w:r>
            <w:r w:rsidR="002624F9">
              <w:rPr>
                <w:rFonts w:ascii="Garamond" w:hAnsi="Garamond" w:cs="Times New Roman"/>
                <w:color w:val="000000" w:themeColor="text1"/>
              </w:rPr>
              <w:t>38</w:t>
            </w:r>
            <w:r>
              <w:rPr>
                <w:rFonts w:ascii="Garamond" w:hAnsi="Garamond" w:cs="Times New Roman"/>
                <w:color w:val="000000" w:themeColor="text1"/>
              </w:rPr>
              <w:t xml:space="preserve"> = 61%</w:t>
            </w:r>
          </w:p>
        </w:tc>
      </w:tr>
      <w:tr w:rsidR="00A114B5" w:rsidTr="004A02BD">
        <w:tc>
          <w:tcPr>
            <w:tcW w:w="558" w:type="dxa"/>
            <w:tcBorders>
              <w:bottom w:val="single" w:sz="18" w:space="0" w:color="auto"/>
            </w:tcBorders>
          </w:tcPr>
          <w:p w:rsidR="00A114B5" w:rsidRDefault="00A114B5" w:rsidP="004A02BD">
            <w:pPr>
              <w:jc w:val="center"/>
              <w:rPr>
                <w:rFonts w:ascii="Garamond" w:hAnsi="Garamond" w:cs="Times New Roman"/>
                <w:color w:val="000000" w:themeColor="text1"/>
              </w:rPr>
            </w:pPr>
            <w:r>
              <w:rPr>
                <w:rFonts w:ascii="Garamond" w:hAnsi="Garamond" w:cs="Times New Roman"/>
                <w:color w:val="000000" w:themeColor="text1"/>
              </w:rPr>
              <w:t>(5)</w:t>
            </w:r>
          </w:p>
        </w:tc>
        <w:tc>
          <w:tcPr>
            <w:tcW w:w="1530" w:type="dxa"/>
            <w:tcBorders>
              <w:bottom w:val="single" w:sz="18" w:space="0" w:color="auto"/>
            </w:tcBorders>
          </w:tcPr>
          <w:p w:rsidR="00A114B5" w:rsidRDefault="00A114B5" w:rsidP="004A02BD">
            <w:pPr>
              <w:jc w:val="center"/>
              <w:rPr>
                <w:rFonts w:ascii="Garamond" w:hAnsi="Garamond" w:cs="Times New Roman"/>
                <w:color w:val="000000" w:themeColor="text1"/>
              </w:rPr>
            </w:pPr>
            <w:r>
              <w:rPr>
                <w:rFonts w:ascii="Garamond" w:hAnsi="Garamond" w:cs="Times New Roman"/>
                <w:color w:val="000000" w:themeColor="text1"/>
              </w:rPr>
              <w:t>More than 2 Years</w:t>
            </w:r>
          </w:p>
        </w:tc>
        <w:tc>
          <w:tcPr>
            <w:tcW w:w="1009" w:type="dxa"/>
            <w:tcBorders>
              <w:bottom w:val="single" w:sz="18" w:space="0" w:color="auto"/>
            </w:tcBorders>
          </w:tcPr>
          <w:p w:rsidR="00A114B5" w:rsidRDefault="00A114B5" w:rsidP="004A02BD">
            <w:pPr>
              <w:jc w:val="center"/>
              <w:rPr>
                <w:rFonts w:ascii="Garamond" w:hAnsi="Garamond" w:cs="Times New Roman"/>
                <w:color w:val="000000" w:themeColor="text1"/>
              </w:rPr>
            </w:pPr>
            <w:r>
              <w:rPr>
                <w:rFonts w:ascii="Garamond" w:hAnsi="Garamond" w:cs="Times New Roman"/>
                <w:color w:val="000000" w:themeColor="text1"/>
              </w:rPr>
              <w:t>33</w:t>
            </w:r>
          </w:p>
        </w:tc>
        <w:tc>
          <w:tcPr>
            <w:tcW w:w="1158" w:type="dxa"/>
            <w:tcBorders>
              <w:bottom w:val="single" w:sz="18" w:space="0" w:color="auto"/>
            </w:tcBorders>
          </w:tcPr>
          <w:p w:rsidR="00A114B5" w:rsidRDefault="00A114B5" w:rsidP="008B2B0F">
            <w:pPr>
              <w:jc w:val="center"/>
              <w:rPr>
                <w:rFonts w:ascii="Garamond" w:hAnsi="Garamond" w:cs="Times New Roman"/>
                <w:color w:val="000000" w:themeColor="text1"/>
              </w:rPr>
            </w:pPr>
            <w:r>
              <w:rPr>
                <w:rFonts w:ascii="Garamond" w:hAnsi="Garamond" w:cs="Times New Roman"/>
                <w:color w:val="000000" w:themeColor="text1"/>
              </w:rPr>
              <w:t>2</w:t>
            </w:r>
            <w:r w:rsidR="008B2B0F">
              <w:rPr>
                <w:rFonts w:ascii="Garamond" w:hAnsi="Garamond" w:cs="Times New Roman"/>
                <w:color w:val="000000" w:themeColor="text1"/>
              </w:rPr>
              <w:t>5</w:t>
            </w:r>
          </w:p>
        </w:tc>
        <w:tc>
          <w:tcPr>
            <w:tcW w:w="1253" w:type="dxa"/>
            <w:tcBorders>
              <w:bottom w:val="single" w:sz="18" w:space="0" w:color="auto"/>
            </w:tcBorders>
          </w:tcPr>
          <w:p w:rsidR="00A114B5" w:rsidRDefault="00A114B5" w:rsidP="004A02BD">
            <w:pPr>
              <w:jc w:val="center"/>
              <w:rPr>
                <w:rFonts w:ascii="Garamond" w:hAnsi="Garamond" w:cs="Times New Roman"/>
                <w:color w:val="000000" w:themeColor="text1"/>
              </w:rPr>
            </w:pPr>
            <w:r>
              <w:rPr>
                <w:rFonts w:ascii="Garamond" w:hAnsi="Garamond" w:cs="Times New Roman"/>
                <w:color w:val="000000" w:themeColor="text1"/>
              </w:rPr>
              <w:t>16</w:t>
            </w:r>
          </w:p>
        </w:tc>
        <w:tc>
          <w:tcPr>
            <w:tcW w:w="1620" w:type="dxa"/>
            <w:tcBorders>
              <w:bottom w:val="single" w:sz="18" w:space="0" w:color="auto"/>
            </w:tcBorders>
          </w:tcPr>
          <w:p w:rsidR="00A114B5" w:rsidRDefault="00A114B5" w:rsidP="008B2B0F">
            <w:pPr>
              <w:jc w:val="center"/>
              <w:rPr>
                <w:rFonts w:ascii="Garamond" w:hAnsi="Garamond" w:cs="Times New Roman"/>
                <w:color w:val="000000" w:themeColor="text1"/>
              </w:rPr>
            </w:pPr>
            <w:r>
              <w:rPr>
                <w:rFonts w:ascii="Garamond" w:hAnsi="Garamond" w:cs="Times New Roman"/>
                <w:color w:val="000000" w:themeColor="text1"/>
              </w:rPr>
              <w:t>2</w:t>
            </w:r>
            <w:r w:rsidR="008B2B0F">
              <w:rPr>
                <w:rFonts w:ascii="Garamond" w:hAnsi="Garamond" w:cs="Times New Roman"/>
                <w:color w:val="000000" w:themeColor="text1"/>
              </w:rPr>
              <w:t>5</w:t>
            </w:r>
            <w:r>
              <w:rPr>
                <w:rFonts w:ascii="Garamond" w:hAnsi="Garamond" w:cs="Times New Roman"/>
                <w:color w:val="000000" w:themeColor="text1"/>
              </w:rPr>
              <w:t>/3</w:t>
            </w:r>
            <w:r w:rsidR="002624F9">
              <w:rPr>
                <w:rFonts w:ascii="Garamond" w:hAnsi="Garamond" w:cs="Times New Roman"/>
                <w:color w:val="000000" w:themeColor="text1"/>
              </w:rPr>
              <w:t>3</w:t>
            </w:r>
            <w:r>
              <w:rPr>
                <w:rFonts w:ascii="Garamond" w:hAnsi="Garamond" w:cs="Times New Roman"/>
                <w:color w:val="000000" w:themeColor="text1"/>
              </w:rPr>
              <w:t xml:space="preserve"> = 7</w:t>
            </w:r>
            <w:r w:rsidR="008B2B0F">
              <w:rPr>
                <w:rFonts w:ascii="Garamond" w:hAnsi="Garamond" w:cs="Times New Roman"/>
                <w:color w:val="000000" w:themeColor="text1"/>
              </w:rPr>
              <w:t>6</w:t>
            </w:r>
            <w:r>
              <w:rPr>
                <w:rFonts w:ascii="Garamond" w:hAnsi="Garamond" w:cs="Times New Roman"/>
                <w:color w:val="000000" w:themeColor="text1"/>
              </w:rPr>
              <w:t>%</w:t>
            </w:r>
          </w:p>
        </w:tc>
        <w:tc>
          <w:tcPr>
            <w:tcW w:w="1890" w:type="dxa"/>
            <w:tcBorders>
              <w:bottom w:val="single" w:sz="18" w:space="0" w:color="auto"/>
            </w:tcBorders>
          </w:tcPr>
          <w:p w:rsidR="00A114B5" w:rsidRDefault="00A114B5" w:rsidP="002624F9">
            <w:pPr>
              <w:jc w:val="center"/>
              <w:rPr>
                <w:rFonts w:ascii="Garamond" w:hAnsi="Garamond" w:cs="Times New Roman"/>
                <w:color w:val="000000" w:themeColor="text1"/>
              </w:rPr>
            </w:pPr>
            <w:r>
              <w:rPr>
                <w:rFonts w:ascii="Garamond" w:hAnsi="Garamond" w:cs="Times New Roman"/>
                <w:color w:val="000000" w:themeColor="text1"/>
              </w:rPr>
              <w:t>16/3</w:t>
            </w:r>
            <w:r w:rsidR="002624F9">
              <w:rPr>
                <w:rFonts w:ascii="Garamond" w:hAnsi="Garamond" w:cs="Times New Roman"/>
                <w:color w:val="000000" w:themeColor="text1"/>
              </w:rPr>
              <w:t>3</w:t>
            </w:r>
            <w:r>
              <w:rPr>
                <w:rFonts w:ascii="Garamond" w:hAnsi="Garamond" w:cs="Times New Roman"/>
                <w:color w:val="000000" w:themeColor="text1"/>
              </w:rPr>
              <w:t xml:space="preserve"> = 4</w:t>
            </w:r>
            <w:r w:rsidR="002624F9">
              <w:rPr>
                <w:rFonts w:ascii="Garamond" w:hAnsi="Garamond" w:cs="Times New Roman"/>
                <w:color w:val="000000" w:themeColor="text1"/>
              </w:rPr>
              <w:t>8</w:t>
            </w:r>
            <w:r>
              <w:rPr>
                <w:rFonts w:ascii="Garamond" w:hAnsi="Garamond" w:cs="Times New Roman"/>
                <w:color w:val="000000" w:themeColor="text1"/>
              </w:rPr>
              <w:t>%</w:t>
            </w:r>
          </w:p>
        </w:tc>
      </w:tr>
      <w:tr w:rsidR="00A114B5" w:rsidTr="004A02BD">
        <w:tc>
          <w:tcPr>
            <w:tcW w:w="558" w:type="dxa"/>
            <w:tcBorders>
              <w:top w:val="single" w:sz="18" w:space="0" w:color="auto"/>
            </w:tcBorders>
          </w:tcPr>
          <w:p w:rsidR="00A114B5" w:rsidRPr="00D352B0" w:rsidRDefault="00A114B5" w:rsidP="004A02BD">
            <w:pPr>
              <w:jc w:val="center"/>
              <w:rPr>
                <w:rFonts w:ascii="Garamond" w:hAnsi="Garamond" w:cs="Times New Roman"/>
                <w:b/>
                <w:color w:val="000000" w:themeColor="text1"/>
              </w:rPr>
            </w:pPr>
            <w:r w:rsidRPr="00D352B0">
              <w:rPr>
                <w:rFonts w:ascii="Garamond" w:hAnsi="Garamond" w:cs="Times New Roman"/>
                <w:b/>
                <w:color w:val="000000" w:themeColor="text1"/>
              </w:rPr>
              <w:t>(6)</w:t>
            </w:r>
          </w:p>
        </w:tc>
        <w:tc>
          <w:tcPr>
            <w:tcW w:w="1530" w:type="dxa"/>
            <w:tcBorders>
              <w:top w:val="single" w:sz="18" w:space="0" w:color="auto"/>
            </w:tcBorders>
          </w:tcPr>
          <w:p w:rsidR="00A114B5" w:rsidRDefault="00A114B5" w:rsidP="004A02BD">
            <w:pPr>
              <w:jc w:val="center"/>
              <w:rPr>
                <w:rFonts w:ascii="Garamond" w:hAnsi="Garamond" w:cs="Times New Roman"/>
                <w:color w:val="000000" w:themeColor="text1"/>
              </w:rPr>
            </w:pPr>
            <w:r>
              <w:rPr>
                <w:rFonts w:ascii="Garamond" w:hAnsi="Garamond" w:cs="Times New Roman"/>
                <w:b/>
                <w:color w:val="000000" w:themeColor="text1"/>
              </w:rPr>
              <w:t>Totals: 346 Days &amp; Beyond</w:t>
            </w:r>
          </w:p>
        </w:tc>
        <w:tc>
          <w:tcPr>
            <w:tcW w:w="1009" w:type="dxa"/>
            <w:tcBorders>
              <w:top w:val="single" w:sz="18" w:space="0" w:color="auto"/>
            </w:tcBorders>
          </w:tcPr>
          <w:p w:rsidR="00A114B5" w:rsidRDefault="00A114B5" w:rsidP="004A02BD">
            <w:pPr>
              <w:jc w:val="center"/>
              <w:rPr>
                <w:rFonts w:ascii="Garamond" w:hAnsi="Garamond" w:cs="Times New Roman"/>
                <w:color w:val="000000" w:themeColor="text1"/>
              </w:rPr>
            </w:pPr>
            <w:r>
              <w:rPr>
                <w:rFonts w:ascii="Garamond" w:hAnsi="Garamond" w:cs="Times New Roman"/>
                <w:b/>
                <w:color w:val="000000" w:themeColor="text1"/>
              </w:rPr>
              <w:t>150</w:t>
            </w:r>
          </w:p>
        </w:tc>
        <w:tc>
          <w:tcPr>
            <w:tcW w:w="1158" w:type="dxa"/>
            <w:tcBorders>
              <w:top w:val="single" w:sz="18" w:space="0" w:color="auto"/>
            </w:tcBorders>
          </w:tcPr>
          <w:p w:rsidR="00A114B5" w:rsidRPr="000C4BD7" w:rsidRDefault="00A114B5" w:rsidP="008B2B0F">
            <w:pPr>
              <w:jc w:val="center"/>
              <w:rPr>
                <w:rFonts w:ascii="Garamond" w:hAnsi="Garamond" w:cs="Times New Roman"/>
                <w:b/>
                <w:color w:val="000000" w:themeColor="text1"/>
              </w:rPr>
            </w:pPr>
            <w:r w:rsidRPr="000C4BD7">
              <w:rPr>
                <w:rFonts w:ascii="Garamond" w:hAnsi="Garamond" w:cs="Times New Roman"/>
                <w:b/>
                <w:color w:val="000000" w:themeColor="text1"/>
              </w:rPr>
              <w:t>1</w:t>
            </w:r>
            <w:r w:rsidR="008B2B0F">
              <w:rPr>
                <w:rFonts w:ascii="Garamond" w:hAnsi="Garamond" w:cs="Times New Roman"/>
                <w:b/>
                <w:color w:val="000000" w:themeColor="text1"/>
              </w:rPr>
              <w:t>06</w:t>
            </w:r>
          </w:p>
        </w:tc>
        <w:tc>
          <w:tcPr>
            <w:tcW w:w="1253" w:type="dxa"/>
            <w:tcBorders>
              <w:top w:val="single" w:sz="18" w:space="0" w:color="auto"/>
            </w:tcBorders>
          </w:tcPr>
          <w:p w:rsidR="00A114B5" w:rsidRPr="000C4BD7" w:rsidRDefault="008B2B0F" w:rsidP="008B2B0F">
            <w:pPr>
              <w:jc w:val="center"/>
              <w:rPr>
                <w:rFonts w:ascii="Garamond" w:hAnsi="Garamond" w:cs="Times New Roman"/>
                <w:b/>
                <w:color w:val="000000" w:themeColor="text1"/>
              </w:rPr>
            </w:pPr>
            <w:r>
              <w:rPr>
                <w:rFonts w:ascii="Garamond" w:hAnsi="Garamond" w:cs="Times New Roman"/>
                <w:b/>
                <w:color w:val="000000" w:themeColor="text1"/>
              </w:rPr>
              <w:t>64</w:t>
            </w:r>
          </w:p>
        </w:tc>
        <w:tc>
          <w:tcPr>
            <w:tcW w:w="1620" w:type="dxa"/>
            <w:tcBorders>
              <w:top w:val="single" w:sz="18" w:space="0" w:color="auto"/>
            </w:tcBorders>
          </w:tcPr>
          <w:p w:rsidR="00A114B5" w:rsidRPr="000C4BD7" w:rsidRDefault="00A114B5" w:rsidP="008B2B0F">
            <w:pPr>
              <w:jc w:val="center"/>
              <w:rPr>
                <w:rFonts w:ascii="Garamond" w:hAnsi="Garamond" w:cs="Times New Roman"/>
                <w:b/>
                <w:color w:val="000000" w:themeColor="text1"/>
              </w:rPr>
            </w:pPr>
            <w:r w:rsidRPr="000C4BD7">
              <w:rPr>
                <w:rFonts w:ascii="Garamond" w:hAnsi="Garamond" w:cs="Times New Roman"/>
                <w:b/>
                <w:color w:val="000000" w:themeColor="text1"/>
              </w:rPr>
              <w:t>1</w:t>
            </w:r>
            <w:r w:rsidR="008B2B0F">
              <w:rPr>
                <w:rFonts w:ascii="Garamond" w:hAnsi="Garamond" w:cs="Times New Roman"/>
                <w:b/>
                <w:color w:val="000000" w:themeColor="text1"/>
              </w:rPr>
              <w:t>06</w:t>
            </w:r>
            <w:r w:rsidRPr="000C4BD7">
              <w:rPr>
                <w:rFonts w:ascii="Garamond" w:hAnsi="Garamond" w:cs="Times New Roman"/>
                <w:b/>
                <w:color w:val="000000" w:themeColor="text1"/>
              </w:rPr>
              <w:t>/1</w:t>
            </w:r>
            <w:r>
              <w:rPr>
                <w:rFonts w:ascii="Garamond" w:hAnsi="Garamond" w:cs="Times New Roman"/>
                <w:b/>
                <w:color w:val="000000" w:themeColor="text1"/>
              </w:rPr>
              <w:t>50</w:t>
            </w:r>
            <w:r w:rsidRPr="000C4BD7">
              <w:rPr>
                <w:rFonts w:ascii="Garamond" w:hAnsi="Garamond" w:cs="Times New Roman"/>
                <w:b/>
                <w:color w:val="000000" w:themeColor="text1"/>
              </w:rPr>
              <w:t xml:space="preserve"> = </w:t>
            </w:r>
            <w:r w:rsidR="008B2B0F">
              <w:rPr>
                <w:rFonts w:ascii="Garamond" w:hAnsi="Garamond" w:cs="Times New Roman"/>
                <w:b/>
                <w:color w:val="000000" w:themeColor="text1"/>
              </w:rPr>
              <w:t>71</w:t>
            </w:r>
            <w:r w:rsidRPr="000C4BD7">
              <w:rPr>
                <w:rFonts w:ascii="Garamond" w:hAnsi="Garamond" w:cs="Times New Roman"/>
                <w:b/>
                <w:color w:val="000000" w:themeColor="text1"/>
              </w:rPr>
              <w:t>%</w:t>
            </w:r>
          </w:p>
        </w:tc>
        <w:tc>
          <w:tcPr>
            <w:tcW w:w="1890" w:type="dxa"/>
            <w:tcBorders>
              <w:top w:val="single" w:sz="18" w:space="0" w:color="auto"/>
            </w:tcBorders>
          </w:tcPr>
          <w:p w:rsidR="00A114B5" w:rsidRPr="000C4BD7" w:rsidRDefault="002624F9" w:rsidP="002624F9">
            <w:pPr>
              <w:jc w:val="center"/>
              <w:rPr>
                <w:rFonts w:ascii="Garamond" w:hAnsi="Garamond" w:cs="Times New Roman"/>
                <w:b/>
                <w:color w:val="000000" w:themeColor="text1"/>
              </w:rPr>
            </w:pPr>
            <w:r>
              <w:rPr>
                <w:rFonts w:ascii="Garamond" w:hAnsi="Garamond" w:cs="Times New Roman"/>
                <w:b/>
                <w:color w:val="000000" w:themeColor="text1"/>
              </w:rPr>
              <w:t>64</w:t>
            </w:r>
            <w:r w:rsidR="00A114B5" w:rsidRPr="000C4BD7">
              <w:rPr>
                <w:rFonts w:ascii="Garamond" w:hAnsi="Garamond" w:cs="Times New Roman"/>
                <w:b/>
                <w:color w:val="000000" w:themeColor="text1"/>
              </w:rPr>
              <w:t>/1</w:t>
            </w:r>
            <w:r w:rsidR="00A114B5">
              <w:rPr>
                <w:rFonts w:ascii="Garamond" w:hAnsi="Garamond" w:cs="Times New Roman"/>
                <w:b/>
                <w:color w:val="000000" w:themeColor="text1"/>
              </w:rPr>
              <w:t>50</w:t>
            </w:r>
            <w:r w:rsidR="00A114B5" w:rsidRPr="000C4BD7">
              <w:rPr>
                <w:rFonts w:ascii="Garamond" w:hAnsi="Garamond" w:cs="Times New Roman"/>
                <w:b/>
                <w:color w:val="000000" w:themeColor="text1"/>
              </w:rPr>
              <w:t xml:space="preserve"> = 43%</w:t>
            </w:r>
          </w:p>
        </w:tc>
      </w:tr>
      <w:tr w:rsidR="00A114B5" w:rsidTr="004A02BD">
        <w:tc>
          <w:tcPr>
            <w:tcW w:w="558" w:type="dxa"/>
          </w:tcPr>
          <w:p w:rsidR="00A114B5" w:rsidRDefault="00A114B5" w:rsidP="004A02BD">
            <w:pPr>
              <w:jc w:val="center"/>
              <w:rPr>
                <w:rFonts w:ascii="Garamond" w:hAnsi="Garamond" w:cs="Times New Roman"/>
                <w:b/>
                <w:color w:val="000000" w:themeColor="text1"/>
              </w:rPr>
            </w:pPr>
            <w:r>
              <w:rPr>
                <w:rFonts w:ascii="Garamond" w:hAnsi="Garamond" w:cs="Times New Roman"/>
                <w:b/>
                <w:color w:val="000000" w:themeColor="text1"/>
              </w:rPr>
              <w:t>(7)</w:t>
            </w:r>
          </w:p>
        </w:tc>
        <w:tc>
          <w:tcPr>
            <w:tcW w:w="1530" w:type="dxa"/>
          </w:tcPr>
          <w:p w:rsidR="00A114B5" w:rsidRPr="00D352B0" w:rsidRDefault="00A114B5" w:rsidP="004A02BD">
            <w:pPr>
              <w:jc w:val="center"/>
              <w:rPr>
                <w:rFonts w:ascii="Garamond" w:hAnsi="Garamond" w:cs="Times New Roman"/>
                <w:b/>
                <w:color w:val="000000" w:themeColor="text1"/>
              </w:rPr>
            </w:pPr>
            <w:r>
              <w:rPr>
                <w:rFonts w:ascii="Garamond" w:hAnsi="Garamond" w:cs="Times New Roman"/>
                <w:b/>
                <w:color w:val="000000" w:themeColor="text1"/>
              </w:rPr>
              <w:t>Totals: 366 Days &amp; Beyond</w:t>
            </w:r>
          </w:p>
        </w:tc>
        <w:tc>
          <w:tcPr>
            <w:tcW w:w="1009" w:type="dxa"/>
          </w:tcPr>
          <w:p w:rsidR="00A114B5" w:rsidRDefault="00A114B5" w:rsidP="004A02BD">
            <w:pPr>
              <w:jc w:val="center"/>
              <w:rPr>
                <w:rFonts w:ascii="Garamond" w:hAnsi="Garamond" w:cs="Times New Roman"/>
                <w:color w:val="000000" w:themeColor="text1"/>
              </w:rPr>
            </w:pPr>
            <w:r>
              <w:rPr>
                <w:rFonts w:ascii="Garamond" w:hAnsi="Garamond" w:cs="Times New Roman"/>
                <w:b/>
                <w:color w:val="000000" w:themeColor="text1"/>
              </w:rPr>
              <w:t>136</w:t>
            </w:r>
          </w:p>
        </w:tc>
        <w:tc>
          <w:tcPr>
            <w:tcW w:w="1158" w:type="dxa"/>
          </w:tcPr>
          <w:p w:rsidR="00A114B5" w:rsidRPr="00900234" w:rsidRDefault="008B2B0F" w:rsidP="008B2B0F">
            <w:pPr>
              <w:jc w:val="center"/>
              <w:rPr>
                <w:rFonts w:ascii="Garamond" w:hAnsi="Garamond" w:cs="Times New Roman"/>
                <w:b/>
                <w:color w:val="000000" w:themeColor="text1"/>
              </w:rPr>
            </w:pPr>
            <w:r>
              <w:rPr>
                <w:rFonts w:ascii="Garamond" w:hAnsi="Garamond" w:cs="Times New Roman"/>
                <w:b/>
                <w:color w:val="000000" w:themeColor="text1"/>
              </w:rPr>
              <w:t>99</w:t>
            </w:r>
          </w:p>
        </w:tc>
        <w:tc>
          <w:tcPr>
            <w:tcW w:w="1253" w:type="dxa"/>
          </w:tcPr>
          <w:p w:rsidR="00A114B5" w:rsidRPr="00900234" w:rsidRDefault="008B2B0F" w:rsidP="008B2B0F">
            <w:pPr>
              <w:jc w:val="center"/>
              <w:rPr>
                <w:rFonts w:ascii="Garamond" w:hAnsi="Garamond" w:cs="Times New Roman"/>
                <w:b/>
                <w:color w:val="000000" w:themeColor="text1"/>
              </w:rPr>
            </w:pPr>
            <w:r>
              <w:rPr>
                <w:rFonts w:ascii="Garamond" w:hAnsi="Garamond" w:cs="Times New Roman"/>
                <w:b/>
                <w:color w:val="000000" w:themeColor="text1"/>
              </w:rPr>
              <w:t>63</w:t>
            </w:r>
          </w:p>
        </w:tc>
        <w:tc>
          <w:tcPr>
            <w:tcW w:w="1620" w:type="dxa"/>
          </w:tcPr>
          <w:p w:rsidR="00A114B5" w:rsidRPr="00900234" w:rsidRDefault="002624F9" w:rsidP="008B2B0F">
            <w:pPr>
              <w:jc w:val="center"/>
              <w:rPr>
                <w:rFonts w:ascii="Garamond" w:hAnsi="Garamond" w:cs="Times New Roman"/>
                <w:b/>
                <w:color w:val="000000" w:themeColor="text1"/>
              </w:rPr>
            </w:pPr>
            <w:r>
              <w:rPr>
                <w:rFonts w:ascii="Garamond" w:hAnsi="Garamond" w:cs="Times New Roman"/>
                <w:b/>
                <w:color w:val="000000" w:themeColor="text1"/>
              </w:rPr>
              <w:t>9</w:t>
            </w:r>
            <w:r w:rsidR="008B2B0F">
              <w:rPr>
                <w:rFonts w:ascii="Garamond" w:hAnsi="Garamond" w:cs="Times New Roman"/>
                <w:b/>
                <w:color w:val="000000" w:themeColor="text1"/>
              </w:rPr>
              <w:t>9</w:t>
            </w:r>
            <w:r w:rsidR="00A114B5" w:rsidRPr="00900234">
              <w:rPr>
                <w:rFonts w:ascii="Garamond" w:hAnsi="Garamond" w:cs="Times New Roman"/>
                <w:b/>
                <w:color w:val="000000" w:themeColor="text1"/>
              </w:rPr>
              <w:t>/1</w:t>
            </w:r>
            <w:r w:rsidR="00A114B5">
              <w:rPr>
                <w:rFonts w:ascii="Garamond" w:hAnsi="Garamond" w:cs="Times New Roman"/>
                <w:b/>
                <w:color w:val="000000" w:themeColor="text1"/>
              </w:rPr>
              <w:t>36</w:t>
            </w:r>
            <w:r w:rsidR="00A114B5" w:rsidRPr="00900234">
              <w:rPr>
                <w:rFonts w:ascii="Garamond" w:hAnsi="Garamond" w:cs="Times New Roman"/>
                <w:b/>
                <w:color w:val="000000" w:themeColor="text1"/>
              </w:rPr>
              <w:t xml:space="preserve"> = 7</w:t>
            </w:r>
            <w:r w:rsidR="008B2B0F">
              <w:rPr>
                <w:rFonts w:ascii="Garamond" w:hAnsi="Garamond" w:cs="Times New Roman"/>
                <w:b/>
                <w:color w:val="000000" w:themeColor="text1"/>
              </w:rPr>
              <w:t>3</w:t>
            </w:r>
            <w:r w:rsidR="00A114B5" w:rsidRPr="00900234">
              <w:rPr>
                <w:rFonts w:ascii="Garamond" w:hAnsi="Garamond" w:cs="Times New Roman"/>
                <w:b/>
                <w:color w:val="000000" w:themeColor="text1"/>
              </w:rPr>
              <w:t>%</w:t>
            </w:r>
          </w:p>
        </w:tc>
        <w:tc>
          <w:tcPr>
            <w:tcW w:w="1890" w:type="dxa"/>
          </w:tcPr>
          <w:p w:rsidR="00A114B5" w:rsidRDefault="002624F9" w:rsidP="002624F9">
            <w:pPr>
              <w:jc w:val="center"/>
              <w:rPr>
                <w:rFonts w:ascii="Garamond" w:hAnsi="Garamond" w:cs="Times New Roman"/>
                <w:color w:val="000000" w:themeColor="text1"/>
              </w:rPr>
            </w:pPr>
            <w:r>
              <w:rPr>
                <w:rFonts w:ascii="Garamond" w:hAnsi="Garamond" w:cs="Times New Roman"/>
                <w:b/>
                <w:color w:val="000000" w:themeColor="text1"/>
              </w:rPr>
              <w:t>63</w:t>
            </w:r>
            <w:r w:rsidR="00A114B5">
              <w:rPr>
                <w:rFonts w:ascii="Garamond" w:hAnsi="Garamond" w:cs="Times New Roman"/>
                <w:b/>
                <w:color w:val="000000" w:themeColor="text1"/>
              </w:rPr>
              <w:t>/136 = 4</w:t>
            </w:r>
            <w:r>
              <w:rPr>
                <w:rFonts w:ascii="Garamond" w:hAnsi="Garamond" w:cs="Times New Roman"/>
                <w:b/>
                <w:color w:val="000000" w:themeColor="text1"/>
              </w:rPr>
              <w:t>6</w:t>
            </w:r>
            <w:r w:rsidR="00A114B5">
              <w:rPr>
                <w:rFonts w:ascii="Garamond" w:hAnsi="Garamond" w:cs="Times New Roman"/>
                <w:b/>
                <w:color w:val="000000" w:themeColor="text1"/>
              </w:rPr>
              <w:t>%</w:t>
            </w:r>
          </w:p>
        </w:tc>
      </w:tr>
    </w:tbl>
    <w:p w:rsidR="00A114B5" w:rsidRDefault="00A114B5" w:rsidP="00A114B5">
      <w:pPr>
        <w:rPr>
          <w:rFonts w:cs="Times New Roman"/>
          <w:color w:val="000000" w:themeColor="text1"/>
        </w:rPr>
      </w:pPr>
      <w:r>
        <w:rPr>
          <w:rFonts w:cs="Times New Roman"/>
          <w:color w:val="000000" w:themeColor="text1"/>
        </w:rPr>
        <w:t>*</w:t>
      </w:r>
      <w:r w:rsidRPr="00701FF6">
        <w:rPr>
          <w:rFonts w:cs="Times New Roman"/>
          <w:color w:val="000000" w:themeColor="text1"/>
          <w:sz w:val="18"/>
          <w:szCs w:val="18"/>
        </w:rPr>
        <w:t>SB = small business</w:t>
      </w:r>
      <w:r>
        <w:rPr>
          <w:rFonts w:cs="Times New Roman"/>
          <w:color w:val="000000" w:themeColor="text1"/>
          <w:sz w:val="18"/>
          <w:szCs w:val="18"/>
        </w:rPr>
        <w:t xml:space="preserve"> taking account of groups of liabilities for groups of affiliated debtors</w:t>
      </w:r>
    </w:p>
    <w:p w:rsidR="009B775B" w:rsidRDefault="009B775B" w:rsidP="009B775B">
      <w:pPr>
        <w:rPr>
          <w:rFonts w:cs="Times New Roman"/>
          <w:color w:val="000000" w:themeColor="text1"/>
        </w:rPr>
      </w:pPr>
      <w:r>
        <w:rPr>
          <w:rFonts w:cs="Times New Roman"/>
          <w:color w:val="000000" w:themeColor="text1"/>
        </w:rPr>
        <w:t>The confirmation rate, of course, was lower than the plan-proposal rate. Of th</w:t>
      </w:r>
      <w:r w:rsidR="002624F9">
        <w:rPr>
          <w:rFonts w:cs="Times New Roman"/>
          <w:color w:val="000000" w:themeColor="text1"/>
        </w:rPr>
        <w:t>os</w:t>
      </w:r>
      <w:r>
        <w:rPr>
          <w:rFonts w:cs="Times New Roman"/>
          <w:color w:val="000000" w:themeColor="text1"/>
        </w:rPr>
        <w:t xml:space="preserve">e </w:t>
      </w:r>
      <w:r w:rsidR="002624F9">
        <w:rPr>
          <w:rFonts w:cs="Times New Roman"/>
          <w:color w:val="000000" w:themeColor="text1"/>
        </w:rPr>
        <w:t xml:space="preserve">small business </w:t>
      </w:r>
      <w:r>
        <w:rPr>
          <w:rFonts w:cs="Times New Roman"/>
          <w:color w:val="000000" w:themeColor="text1"/>
        </w:rPr>
        <w:t xml:space="preserve">cases remaining </w:t>
      </w:r>
      <w:r w:rsidR="008B2B0F">
        <w:rPr>
          <w:rFonts w:cs="Times New Roman"/>
          <w:color w:val="000000" w:themeColor="text1"/>
        </w:rPr>
        <w:t>in chapter 11 more than</w:t>
      </w:r>
      <w:r>
        <w:rPr>
          <w:rFonts w:cs="Times New Roman"/>
          <w:color w:val="000000" w:themeColor="text1"/>
        </w:rPr>
        <w:t xml:space="preserve"> 345 days, a plan was confirmed in </w:t>
      </w:r>
      <w:r w:rsidR="002624F9">
        <w:rPr>
          <w:rFonts w:cs="Times New Roman"/>
          <w:color w:val="000000" w:themeColor="text1"/>
        </w:rPr>
        <w:t>43</w:t>
      </w:r>
      <w:r w:rsidR="000F2478">
        <w:rPr>
          <w:rFonts w:cs="Times New Roman"/>
          <w:color w:val="000000" w:themeColor="text1"/>
        </w:rPr>
        <w:t>-</w:t>
      </w:r>
      <w:r w:rsidR="002624F9">
        <w:rPr>
          <w:rFonts w:cs="Times New Roman"/>
          <w:color w:val="000000" w:themeColor="text1"/>
        </w:rPr>
        <w:t>44% of the cases.</w:t>
      </w:r>
      <w:r w:rsidR="008E34EE">
        <w:rPr>
          <w:rFonts w:cs="Times New Roman"/>
          <w:color w:val="000000" w:themeColor="text1"/>
        </w:rPr>
        <w:t xml:space="preserve"> </w:t>
      </w:r>
      <w:r w:rsidR="008E34EE">
        <w:rPr>
          <w:rFonts w:cs="Times New Roman"/>
          <w:i/>
          <w:color w:val="000000" w:themeColor="text1"/>
        </w:rPr>
        <w:t xml:space="preserve">See </w:t>
      </w:r>
      <w:r w:rsidR="008E34EE">
        <w:rPr>
          <w:rFonts w:cs="Times New Roman"/>
          <w:color w:val="000000" w:themeColor="text1"/>
        </w:rPr>
        <w:t xml:space="preserve">Tables V &amp; VI, Column </w:t>
      </w:r>
      <w:r w:rsidR="000F2478">
        <w:rPr>
          <w:rFonts w:cs="Times New Roman"/>
          <w:color w:val="000000" w:themeColor="text1"/>
        </w:rPr>
        <w:t>F</w:t>
      </w:r>
      <w:r w:rsidR="008E34EE">
        <w:rPr>
          <w:rFonts w:cs="Times New Roman"/>
          <w:color w:val="000000" w:themeColor="text1"/>
        </w:rPr>
        <w:t>, Row (6).</w:t>
      </w:r>
      <w:r>
        <w:rPr>
          <w:rFonts w:cs="Times New Roman"/>
          <w:color w:val="000000" w:themeColor="text1"/>
        </w:rPr>
        <w:t xml:space="preserve">  </w:t>
      </w:r>
      <w:r w:rsidR="008E34EE">
        <w:rPr>
          <w:rFonts w:cs="Times New Roman"/>
          <w:color w:val="000000" w:themeColor="text1"/>
        </w:rPr>
        <w:t xml:space="preserve">The plan-confirmation rate moved up slightly </w:t>
      </w:r>
      <w:r w:rsidR="000F2478">
        <w:rPr>
          <w:rFonts w:cs="Times New Roman"/>
          <w:color w:val="000000" w:themeColor="text1"/>
        </w:rPr>
        <w:t>to 46-47%</w:t>
      </w:r>
      <w:r w:rsidR="008E34EE">
        <w:rPr>
          <w:rFonts w:cs="Times New Roman"/>
          <w:color w:val="000000" w:themeColor="text1"/>
        </w:rPr>
        <w:t xml:space="preserve"> for those small business cases remaining in chapter 11 more than one year. </w:t>
      </w:r>
      <w:r w:rsidR="008E34EE">
        <w:rPr>
          <w:rFonts w:cs="Times New Roman"/>
          <w:i/>
          <w:color w:val="000000" w:themeColor="text1"/>
        </w:rPr>
        <w:t xml:space="preserve">See </w:t>
      </w:r>
      <w:r w:rsidR="008E34EE">
        <w:rPr>
          <w:rFonts w:cs="Times New Roman"/>
          <w:color w:val="000000" w:themeColor="text1"/>
        </w:rPr>
        <w:t xml:space="preserve">Tables V &amp; VI, Column </w:t>
      </w:r>
      <w:r w:rsidR="000F2478">
        <w:rPr>
          <w:rFonts w:cs="Times New Roman"/>
          <w:color w:val="000000" w:themeColor="text1"/>
        </w:rPr>
        <w:t>F</w:t>
      </w:r>
      <w:r w:rsidR="008E34EE">
        <w:rPr>
          <w:rFonts w:cs="Times New Roman"/>
          <w:color w:val="000000" w:themeColor="text1"/>
        </w:rPr>
        <w:t xml:space="preserve">, Row (7).  </w:t>
      </w:r>
      <w:r>
        <w:rPr>
          <w:rFonts w:cs="Times New Roman"/>
          <w:color w:val="000000" w:themeColor="text1"/>
        </w:rPr>
        <w:t>While fewer than half the small business debtors remaining in chapter 11 after</w:t>
      </w:r>
      <w:r w:rsidR="008E34EE">
        <w:rPr>
          <w:rFonts w:cs="Times New Roman"/>
          <w:color w:val="000000" w:themeColor="text1"/>
        </w:rPr>
        <w:t xml:space="preserve"> one year confirmed plans, the </w:t>
      </w:r>
      <w:r>
        <w:rPr>
          <w:rFonts w:cs="Times New Roman"/>
          <w:color w:val="000000" w:themeColor="text1"/>
        </w:rPr>
        <w:t>confirmation rate for one year and beyond was much higher than the 26% overall plan-confirmation rate for small business debtors found in the Lawton ABI study.</w:t>
      </w:r>
      <w:r>
        <w:rPr>
          <w:rStyle w:val="FootnoteReference"/>
          <w:rFonts w:cs="Times New Roman"/>
          <w:color w:val="000000" w:themeColor="text1"/>
        </w:rPr>
        <w:footnoteReference w:id="63"/>
      </w:r>
      <w:r>
        <w:rPr>
          <w:rFonts w:cs="Times New Roman"/>
          <w:color w:val="000000" w:themeColor="text1"/>
        </w:rPr>
        <w:t xml:space="preserve">  As Warren and Westbrook noted in their study of debtors from 1994 and 2002, </w:t>
      </w:r>
    </w:p>
    <w:p w:rsidR="009B775B" w:rsidRDefault="009B775B" w:rsidP="009B775B">
      <w:pPr>
        <w:ind w:left="720"/>
        <w:rPr>
          <w:rFonts w:cs="Times New Roman"/>
          <w:color w:val="000000" w:themeColor="text1"/>
        </w:rPr>
      </w:pPr>
      <w:r>
        <w:rPr>
          <w:rFonts w:cs="Times New Roman"/>
          <w:color w:val="000000" w:themeColor="text1"/>
        </w:rPr>
        <w:t>[o]nce the courts had done some early culling of the DOA [dead-on-arrival] cases, confirmation rates rose sharply. Cases that survived the initial screening were far more likely to confirm a plan of reorganization.</w:t>
      </w:r>
      <w:r>
        <w:rPr>
          <w:rStyle w:val="FootnoteReference"/>
          <w:rFonts w:cs="Times New Roman"/>
          <w:color w:val="000000" w:themeColor="text1"/>
        </w:rPr>
        <w:footnoteReference w:id="64"/>
      </w:r>
      <w:r>
        <w:rPr>
          <w:rFonts w:cs="Times New Roman"/>
          <w:color w:val="000000" w:themeColor="text1"/>
        </w:rPr>
        <w:t xml:space="preserve"> </w:t>
      </w:r>
    </w:p>
    <w:p w:rsidR="009B775B" w:rsidRPr="008E34EE" w:rsidRDefault="009B775B" w:rsidP="009B775B">
      <w:pPr>
        <w:rPr>
          <w:rFonts w:cs="Times New Roman"/>
          <w:color w:val="000000" w:themeColor="text1"/>
        </w:rPr>
      </w:pPr>
      <w:r>
        <w:rPr>
          <w:rFonts w:cs="Times New Roman"/>
          <w:color w:val="000000" w:themeColor="text1"/>
        </w:rPr>
        <w:lastRenderedPageBreak/>
        <w:t xml:space="preserve">To put this data into perspective, </w:t>
      </w:r>
      <w:r w:rsidR="008E34EE">
        <w:rPr>
          <w:rFonts w:cs="Times New Roman"/>
          <w:color w:val="000000" w:themeColor="text1"/>
        </w:rPr>
        <w:t xml:space="preserve">less than 11% </w:t>
      </w:r>
      <w:r>
        <w:rPr>
          <w:rFonts w:cs="Times New Roman"/>
          <w:color w:val="000000" w:themeColor="text1"/>
        </w:rPr>
        <w:t>of the cases from the original sample (</w:t>
      </w:r>
      <w:r w:rsidR="008E34EE">
        <w:rPr>
          <w:rFonts w:cs="Times New Roman"/>
          <w:color w:val="000000" w:themeColor="text1"/>
        </w:rPr>
        <w:t>86</w:t>
      </w:r>
      <w:r>
        <w:rPr>
          <w:rFonts w:cs="Times New Roman"/>
          <w:color w:val="000000" w:themeColor="text1"/>
        </w:rPr>
        <w:t xml:space="preserve"> of 799) involved (1) small business debtors (2) that never </w:t>
      </w:r>
      <w:r w:rsidRPr="00691223">
        <w:rPr>
          <w:rFonts w:cs="Times New Roman"/>
          <w:i/>
          <w:color w:val="000000" w:themeColor="text1"/>
        </w:rPr>
        <w:t xml:space="preserve">confirmed </w:t>
      </w:r>
      <w:r>
        <w:rPr>
          <w:rFonts w:cs="Times New Roman"/>
          <w:color w:val="000000" w:themeColor="text1"/>
        </w:rPr>
        <w:t xml:space="preserve">a plan (3) </w:t>
      </w:r>
      <w:r w:rsidR="000F2478">
        <w:rPr>
          <w:rFonts w:cs="Times New Roman"/>
          <w:color w:val="000000" w:themeColor="text1"/>
        </w:rPr>
        <w:t xml:space="preserve">yet </w:t>
      </w:r>
      <w:r>
        <w:rPr>
          <w:rFonts w:cs="Times New Roman"/>
          <w:color w:val="000000" w:themeColor="text1"/>
        </w:rPr>
        <w:t>remained in chapter 11 more than 345 days.</w:t>
      </w:r>
      <w:r w:rsidR="008E34EE">
        <w:rPr>
          <w:rStyle w:val="FootnoteReference"/>
          <w:rFonts w:cs="Times New Roman"/>
          <w:color w:val="000000" w:themeColor="text1"/>
        </w:rPr>
        <w:footnoteReference w:id="65"/>
      </w:r>
      <w:r>
        <w:rPr>
          <w:rFonts w:cs="Times New Roman"/>
          <w:color w:val="000000" w:themeColor="text1"/>
        </w:rPr>
        <w:t xml:space="preserve">  </w:t>
      </w:r>
      <w:r w:rsidR="008E34EE">
        <w:rPr>
          <w:rFonts w:cs="Times New Roman"/>
          <w:i/>
          <w:color w:val="000000" w:themeColor="text1"/>
        </w:rPr>
        <w:t xml:space="preserve">See </w:t>
      </w:r>
      <w:r w:rsidR="008E34EE">
        <w:rPr>
          <w:rFonts w:cs="Times New Roman"/>
          <w:color w:val="000000" w:themeColor="text1"/>
        </w:rPr>
        <w:t xml:space="preserve">Table VI, Column F, Row (6). </w:t>
      </w:r>
      <w:r>
        <w:rPr>
          <w:rFonts w:cs="Times New Roman"/>
          <w:color w:val="000000" w:themeColor="text1"/>
        </w:rPr>
        <w:t xml:space="preserve">Even more startling is the realization that less than </w:t>
      </w:r>
      <w:r w:rsidR="008E34EE">
        <w:rPr>
          <w:rFonts w:cs="Times New Roman"/>
          <w:color w:val="000000" w:themeColor="text1"/>
        </w:rPr>
        <w:t>6</w:t>
      </w:r>
      <w:r>
        <w:rPr>
          <w:rFonts w:cs="Times New Roman"/>
          <w:color w:val="000000" w:themeColor="text1"/>
        </w:rPr>
        <w:t>% of the cases in the original 799-case sample (4</w:t>
      </w:r>
      <w:r w:rsidR="008E34EE">
        <w:rPr>
          <w:rFonts w:cs="Times New Roman"/>
          <w:color w:val="000000" w:themeColor="text1"/>
        </w:rPr>
        <w:t>6</w:t>
      </w:r>
      <w:r>
        <w:rPr>
          <w:rFonts w:cs="Times New Roman"/>
          <w:color w:val="000000" w:themeColor="text1"/>
        </w:rPr>
        <w:t xml:space="preserve"> of 799) involved (1) small business debtors (2) that never </w:t>
      </w:r>
      <w:r w:rsidRPr="00691223">
        <w:rPr>
          <w:rFonts w:cs="Times New Roman"/>
          <w:i/>
          <w:color w:val="000000" w:themeColor="text1"/>
        </w:rPr>
        <w:t>proposed</w:t>
      </w:r>
      <w:r>
        <w:rPr>
          <w:rFonts w:cs="Times New Roman"/>
          <w:color w:val="000000" w:themeColor="text1"/>
        </w:rPr>
        <w:t xml:space="preserve"> a plan yet (3) remained in chapter 11 more than 345 days.  </w:t>
      </w:r>
      <w:r w:rsidR="008E34EE">
        <w:rPr>
          <w:rFonts w:cs="Times New Roman"/>
          <w:i/>
          <w:color w:val="000000" w:themeColor="text1"/>
        </w:rPr>
        <w:t xml:space="preserve">See </w:t>
      </w:r>
      <w:r w:rsidR="008E34EE">
        <w:rPr>
          <w:rFonts w:cs="Times New Roman"/>
          <w:color w:val="000000" w:themeColor="text1"/>
        </w:rPr>
        <w:t xml:space="preserve">Table VI, Column </w:t>
      </w:r>
      <w:r w:rsidR="00301D30">
        <w:rPr>
          <w:rFonts w:cs="Times New Roman"/>
          <w:color w:val="000000" w:themeColor="text1"/>
        </w:rPr>
        <w:t>E</w:t>
      </w:r>
      <w:r w:rsidR="008E34EE">
        <w:rPr>
          <w:rFonts w:cs="Times New Roman"/>
          <w:color w:val="000000" w:themeColor="text1"/>
        </w:rPr>
        <w:t>, Row (6).</w:t>
      </w:r>
    </w:p>
    <w:p w:rsidR="00C83A6F" w:rsidRDefault="009B775B" w:rsidP="009B775B">
      <w:pPr>
        <w:rPr>
          <w:rFonts w:cs="Times New Roman"/>
          <w:color w:val="000000" w:themeColor="text1"/>
        </w:rPr>
      </w:pPr>
      <w:r>
        <w:rPr>
          <w:rFonts w:cs="Times New Roman"/>
          <w:color w:val="000000" w:themeColor="text1"/>
        </w:rPr>
        <w:t xml:space="preserve">In other words, the small business debtors remaining in chapter 11 after 345 days were not languishing. </w:t>
      </w:r>
      <w:r w:rsidR="008E34EE">
        <w:rPr>
          <w:rFonts w:cs="Times New Roman"/>
          <w:color w:val="000000" w:themeColor="text1"/>
        </w:rPr>
        <w:t xml:space="preserve">Regardless of the method of calculating liabilities, </w:t>
      </w:r>
      <w:r w:rsidR="000F2478">
        <w:rPr>
          <w:rFonts w:cs="Times New Roman"/>
          <w:color w:val="000000" w:themeColor="text1"/>
        </w:rPr>
        <w:t xml:space="preserve">more than </w:t>
      </w:r>
      <w:r>
        <w:rPr>
          <w:rFonts w:cs="Times New Roman"/>
          <w:color w:val="000000" w:themeColor="text1"/>
        </w:rPr>
        <w:t>70% had proposed plans</w:t>
      </w:r>
      <w:r w:rsidR="008E34EE">
        <w:rPr>
          <w:rFonts w:cs="Times New Roman"/>
          <w:color w:val="000000" w:themeColor="text1"/>
        </w:rPr>
        <w:t>. S</w:t>
      </w:r>
      <w:r>
        <w:rPr>
          <w:rFonts w:cs="Times New Roman"/>
          <w:i/>
          <w:color w:val="000000" w:themeColor="text1"/>
        </w:rPr>
        <w:t xml:space="preserve">ee </w:t>
      </w:r>
      <w:r>
        <w:rPr>
          <w:rFonts w:cs="Times New Roman"/>
          <w:color w:val="000000" w:themeColor="text1"/>
        </w:rPr>
        <w:t>Table</w:t>
      </w:r>
      <w:r w:rsidR="008E34EE">
        <w:rPr>
          <w:rFonts w:cs="Times New Roman"/>
          <w:color w:val="000000" w:themeColor="text1"/>
        </w:rPr>
        <w:t>s</w:t>
      </w:r>
      <w:r>
        <w:rPr>
          <w:rFonts w:cs="Times New Roman"/>
          <w:color w:val="000000" w:themeColor="text1"/>
        </w:rPr>
        <w:t xml:space="preserve"> V</w:t>
      </w:r>
      <w:r w:rsidR="008E34EE">
        <w:rPr>
          <w:rFonts w:cs="Times New Roman"/>
          <w:color w:val="000000" w:themeColor="text1"/>
        </w:rPr>
        <w:t xml:space="preserve"> &amp; VI</w:t>
      </w:r>
      <w:r>
        <w:rPr>
          <w:rFonts w:cs="Times New Roman"/>
          <w:color w:val="000000" w:themeColor="text1"/>
        </w:rPr>
        <w:t>, C</w:t>
      </w:r>
      <w:r w:rsidR="008E34EE">
        <w:rPr>
          <w:rFonts w:cs="Times New Roman"/>
          <w:color w:val="000000" w:themeColor="text1"/>
        </w:rPr>
        <w:t xml:space="preserve">olumn E, Row (6).  For those cases in which a plan was proposed, </w:t>
      </w:r>
      <w:r>
        <w:rPr>
          <w:rFonts w:cs="Times New Roman"/>
          <w:color w:val="000000" w:themeColor="text1"/>
        </w:rPr>
        <w:t xml:space="preserve">the confirmation rate was high </w:t>
      </w:r>
      <w:r w:rsidR="00C83A6F">
        <w:rPr>
          <w:rFonts w:cs="Times New Roman"/>
          <w:color w:val="000000" w:themeColor="text1"/>
        </w:rPr>
        <w:t>–</w:t>
      </w:r>
      <w:r>
        <w:rPr>
          <w:rFonts w:cs="Times New Roman"/>
          <w:color w:val="000000" w:themeColor="text1"/>
        </w:rPr>
        <w:t xml:space="preserve"> </w:t>
      </w:r>
      <w:r w:rsidR="00C83A6F">
        <w:rPr>
          <w:rFonts w:cs="Times New Roman"/>
          <w:color w:val="000000" w:themeColor="text1"/>
        </w:rPr>
        <w:t xml:space="preserve">approximately </w:t>
      </w:r>
      <w:r w:rsidR="000F2478">
        <w:rPr>
          <w:rFonts w:cs="Times New Roman"/>
          <w:color w:val="000000" w:themeColor="text1"/>
        </w:rPr>
        <w:t>60</w:t>
      </w:r>
      <w:r w:rsidR="00C83A6F">
        <w:rPr>
          <w:rFonts w:cs="Times New Roman"/>
          <w:color w:val="000000" w:themeColor="text1"/>
        </w:rPr>
        <w:t>%</w:t>
      </w:r>
      <w:r w:rsidR="000F2478">
        <w:rPr>
          <w:rFonts w:cs="Times New Roman"/>
          <w:color w:val="000000" w:themeColor="text1"/>
        </w:rPr>
        <w:t xml:space="preserve"> (64/106)</w:t>
      </w:r>
      <w:r w:rsidR="00C83A6F">
        <w:rPr>
          <w:rFonts w:cs="Times New Roman"/>
          <w:color w:val="000000" w:themeColor="text1"/>
        </w:rPr>
        <w:t xml:space="preserve">. </w:t>
      </w:r>
      <w:r w:rsidR="00C83A6F">
        <w:rPr>
          <w:rFonts w:cs="Times New Roman"/>
          <w:i/>
          <w:color w:val="000000" w:themeColor="text1"/>
        </w:rPr>
        <w:t xml:space="preserve">See </w:t>
      </w:r>
      <w:r w:rsidR="00C83A6F">
        <w:rPr>
          <w:rFonts w:cs="Times New Roman"/>
          <w:color w:val="000000" w:themeColor="text1"/>
        </w:rPr>
        <w:t>Table</w:t>
      </w:r>
      <w:r w:rsidR="000F2478">
        <w:rPr>
          <w:rFonts w:cs="Times New Roman"/>
          <w:color w:val="000000" w:themeColor="text1"/>
        </w:rPr>
        <w:t xml:space="preserve"> </w:t>
      </w:r>
      <w:r w:rsidR="00C83A6F">
        <w:rPr>
          <w:rFonts w:cs="Times New Roman"/>
          <w:color w:val="000000" w:themeColor="text1"/>
        </w:rPr>
        <w:t>VI, Column</w:t>
      </w:r>
      <w:r w:rsidR="000F2478">
        <w:rPr>
          <w:rFonts w:cs="Times New Roman"/>
          <w:color w:val="000000" w:themeColor="text1"/>
        </w:rPr>
        <w:t>s C &amp; D, Row (6).</w:t>
      </w:r>
      <w:r w:rsidR="00C83A6F">
        <w:rPr>
          <w:rFonts w:cs="Times New Roman"/>
          <w:color w:val="000000" w:themeColor="text1"/>
        </w:rPr>
        <w:t xml:space="preserve"> </w:t>
      </w:r>
    </w:p>
    <w:p w:rsidR="006266E5" w:rsidRDefault="009B775B" w:rsidP="009B775B">
      <w:pPr>
        <w:rPr>
          <w:rFonts w:cs="Times New Roman"/>
          <w:color w:val="000000" w:themeColor="text1"/>
        </w:rPr>
      </w:pPr>
      <w:r>
        <w:rPr>
          <w:rFonts w:cs="Times New Roman"/>
          <w:color w:val="000000" w:themeColor="text1"/>
        </w:rPr>
        <w:t xml:space="preserve">What about the 45-day plan-confirmation deadline? The Warren &amp; Westbrook study did not examine this aspect of BAPCPA’s changes to the Code, but preliminary analysis of data from the Lawton Time study shows the detrimental impact that the 45-day deadline would have had on pre-BAPCPA cases. </w:t>
      </w:r>
    </w:p>
    <w:p w:rsidR="0027061B" w:rsidRDefault="0027061B" w:rsidP="0027061B">
      <w:pPr>
        <w:rPr>
          <w:rFonts w:cs="Times New Roman"/>
          <w:color w:val="000000" w:themeColor="text1"/>
        </w:rPr>
      </w:pPr>
      <w:r>
        <w:rPr>
          <w:rFonts w:cs="Times New Roman"/>
          <w:color w:val="000000" w:themeColor="text1"/>
        </w:rPr>
        <w:t xml:space="preserve">I ran the data two ways. </w:t>
      </w:r>
      <w:r w:rsidR="006266E5">
        <w:rPr>
          <w:rFonts w:cs="Times New Roman"/>
          <w:color w:val="000000" w:themeColor="text1"/>
        </w:rPr>
        <w:t xml:space="preserve"> Table VII contains time-to-confirmation figures based solely on total liabilities of </w:t>
      </w:r>
      <w:r w:rsidR="006266E5">
        <w:rPr>
          <w:rFonts w:cs="Times New Roman"/>
          <w:i/>
          <w:color w:val="000000" w:themeColor="text1"/>
        </w:rPr>
        <w:t xml:space="preserve">each </w:t>
      </w:r>
      <w:r w:rsidR="006266E5">
        <w:rPr>
          <w:rFonts w:cs="Times New Roman"/>
          <w:color w:val="000000" w:themeColor="text1"/>
        </w:rPr>
        <w:t xml:space="preserve">debtor in the 799-case random sample. The first row of the Table presents data only for small business debtors, using each debtor’s scheduled total liabilities. Row 1 of Table VIII </w:t>
      </w:r>
      <w:r>
        <w:rPr>
          <w:rFonts w:cs="Times New Roman"/>
          <w:color w:val="000000" w:themeColor="text1"/>
        </w:rPr>
        <w:t xml:space="preserve">provides time-to-disposition figures for small businesses, as well, but takes account of liability totals for groups of affiliated debtors. In other words, </w:t>
      </w:r>
      <w:r w:rsidR="00301D30">
        <w:rPr>
          <w:rFonts w:cs="Times New Roman"/>
          <w:color w:val="000000" w:themeColor="text1"/>
        </w:rPr>
        <w:t xml:space="preserve">in Table VIII, </w:t>
      </w:r>
      <w:r>
        <w:rPr>
          <w:rFonts w:cs="Times New Roman"/>
          <w:color w:val="000000" w:themeColor="text1"/>
        </w:rPr>
        <w:t xml:space="preserve">a case without a committee in which the debtor’s scheduled total liabilities fell below $2M counted as a small business </w:t>
      </w:r>
      <w:r>
        <w:rPr>
          <w:rFonts w:cs="Times New Roman"/>
          <w:i/>
          <w:color w:val="000000" w:themeColor="text1"/>
        </w:rPr>
        <w:t xml:space="preserve">unless </w:t>
      </w:r>
      <w:r>
        <w:rPr>
          <w:rFonts w:cs="Times New Roman"/>
          <w:color w:val="000000" w:themeColor="text1"/>
        </w:rPr>
        <w:t xml:space="preserve">the debtor was part of a group of affiliated debtors whose aggregate total liabilities, as scheduled, exceeded $2M.  </w:t>
      </w:r>
    </w:p>
    <w:p w:rsidR="006266E5" w:rsidRDefault="006266E5" w:rsidP="0027061B">
      <w:pPr>
        <w:jc w:val="center"/>
        <w:rPr>
          <w:rFonts w:cs="Times New Roman"/>
          <w:b/>
          <w:color w:val="000000" w:themeColor="text1"/>
        </w:rPr>
      </w:pPr>
      <w:r>
        <w:rPr>
          <w:rFonts w:cs="Times New Roman"/>
          <w:b/>
          <w:color w:val="000000" w:themeColor="text1"/>
        </w:rPr>
        <w:t>Table VII: Time to Confirmation in Days from First Plan Proposal</w:t>
      </w:r>
    </w:p>
    <w:tbl>
      <w:tblPr>
        <w:tblStyle w:val="TableGrid"/>
        <w:tblW w:w="0" w:type="auto"/>
        <w:tblInd w:w="108" w:type="dxa"/>
        <w:tblLayout w:type="fixed"/>
        <w:tblLook w:val="04A0" w:firstRow="1" w:lastRow="0" w:firstColumn="1" w:lastColumn="0" w:noHBand="0" w:noVBand="1"/>
      </w:tblPr>
      <w:tblGrid>
        <w:gridCol w:w="1509"/>
        <w:gridCol w:w="708"/>
        <w:gridCol w:w="782"/>
        <w:gridCol w:w="799"/>
        <w:gridCol w:w="874"/>
        <w:gridCol w:w="1088"/>
        <w:gridCol w:w="990"/>
        <w:gridCol w:w="1066"/>
        <w:gridCol w:w="932"/>
      </w:tblGrid>
      <w:tr w:rsidR="006266E5" w:rsidTr="006266E5">
        <w:tc>
          <w:tcPr>
            <w:tcW w:w="1509" w:type="dxa"/>
          </w:tcPr>
          <w:p w:rsidR="006266E5" w:rsidRPr="007A275F" w:rsidRDefault="006266E5" w:rsidP="006266E5">
            <w:pPr>
              <w:jc w:val="center"/>
              <w:rPr>
                <w:rFonts w:ascii="Garamond" w:hAnsi="Garamond" w:cs="Times New Roman"/>
                <w:b/>
                <w:color w:val="000000" w:themeColor="text1"/>
              </w:rPr>
            </w:pPr>
            <w:r>
              <w:rPr>
                <w:rFonts w:ascii="Garamond" w:hAnsi="Garamond" w:cs="Times New Roman"/>
                <w:b/>
                <w:color w:val="000000" w:themeColor="text1"/>
              </w:rPr>
              <w:t>Type of Debtor</w:t>
            </w:r>
          </w:p>
        </w:tc>
        <w:tc>
          <w:tcPr>
            <w:tcW w:w="708" w:type="dxa"/>
          </w:tcPr>
          <w:p w:rsidR="006266E5" w:rsidRPr="007A275F" w:rsidRDefault="006266E5" w:rsidP="006266E5">
            <w:pPr>
              <w:jc w:val="center"/>
              <w:rPr>
                <w:rFonts w:ascii="Garamond" w:hAnsi="Garamond" w:cs="Times New Roman"/>
                <w:b/>
                <w:color w:val="000000" w:themeColor="text1"/>
              </w:rPr>
            </w:pPr>
            <w:r>
              <w:rPr>
                <w:rFonts w:ascii="Garamond" w:hAnsi="Garamond" w:cs="Times New Roman"/>
                <w:b/>
                <w:color w:val="000000" w:themeColor="text1"/>
              </w:rPr>
              <w:t>1-</w:t>
            </w:r>
            <w:r w:rsidRPr="007A275F">
              <w:rPr>
                <w:rFonts w:ascii="Garamond" w:hAnsi="Garamond" w:cs="Times New Roman"/>
                <w:b/>
                <w:color w:val="000000" w:themeColor="text1"/>
              </w:rPr>
              <w:t xml:space="preserve">45 </w:t>
            </w:r>
          </w:p>
        </w:tc>
        <w:tc>
          <w:tcPr>
            <w:tcW w:w="782" w:type="dxa"/>
          </w:tcPr>
          <w:p w:rsidR="006266E5" w:rsidRPr="007A275F" w:rsidRDefault="006266E5" w:rsidP="006266E5">
            <w:pPr>
              <w:jc w:val="center"/>
              <w:rPr>
                <w:rFonts w:ascii="Garamond" w:hAnsi="Garamond" w:cs="Times New Roman"/>
                <w:b/>
                <w:color w:val="000000" w:themeColor="text1"/>
                <w:vertAlign w:val="superscript"/>
              </w:rPr>
            </w:pPr>
            <w:r>
              <w:rPr>
                <w:rFonts w:ascii="Garamond" w:hAnsi="Garamond" w:cs="Times New Roman"/>
                <w:b/>
                <w:color w:val="000000" w:themeColor="text1"/>
              </w:rPr>
              <w:t>46-60</w:t>
            </w:r>
            <w:r>
              <w:rPr>
                <w:rFonts w:ascii="Garamond" w:hAnsi="Garamond" w:cs="Times New Roman"/>
                <w:b/>
                <w:color w:val="000000" w:themeColor="text1"/>
                <w:vertAlign w:val="superscript"/>
              </w:rPr>
              <w:t>a</w:t>
            </w:r>
          </w:p>
        </w:tc>
        <w:tc>
          <w:tcPr>
            <w:tcW w:w="799" w:type="dxa"/>
          </w:tcPr>
          <w:p w:rsidR="006266E5" w:rsidRPr="007A275F" w:rsidRDefault="006266E5" w:rsidP="006266E5">
            <w:pPr>
              <w:jc w:val="center"/>
              <w:rPr>
                <w:rFonts w:ascii="Garamond" w:hAnsi="Garamond" w:cs="Times New Roman"/>
                <w:b/>
                <w:color w:val="000000" w:themeColor="text1"/>
              </w:rPr>
            </w:pPr>
            <w:r>
              <w:rPr>
                <w:rFonts w:ascii="Garamond" w:hAnsi="Garamond" w:cs="Times New Roman"/>
                <w:b/>
                <w:color w:val="000000" w:themeColor="text1"/>
              </w:rPr>
              <w:t>61-</w:t>
            </w:r>
            <w:r w:rsidRPr="007A275F">
              <w:rPr>
                <w:rFonts w:ascii="Garamond" w:hAnsi="Garamond" w:cs="Times New Roman"/>
                <w:b/>
                <w:color w:val="000000" w:themeColor="text1"/>
              </w:rPr>
              <w:t xml:space="preserve">90 </w:t>
            </w:r>
          </w:p>
        </w:tc>
        <w:tc>
          <w:tcPr>
            <w:tcW w:w="874" w:type="dxa"/>
          </w:tcPr>
          <w:p w:rsidR="006266E5" w:rsidRPr="007A275F" w:rsidRDefault="006266E5" w:rsidP="006266E5">
            <w:pPr>
              <w:jc w:val="center"/>
              <w:rPr>
                <w:rFonts w:ascii="Garamond" w:hAnsi="Garamond" w:cs="Times New Roman"/>
                <w:b/>
                <w:color w:val="000000" w:themeColor="text1"/>
              </w:rPr>
            </w:pPr>
            <w:r>
              <w:rPr>
                <w:rFonts w:ascii="Garamond" w:hAnsi="Garamond" w:cs="Times New Roman"/>
                <w:b/>
                <w:color w:val="000000" w:themeColor="text1"/>
              </w:rPr>
              <w:t>91-180</w:t>
            </w:r>
          </w:p>
        </w:tc>
        <w:tc>
          <w:tcPr>
            <w:tcW w:w="1088" w:type="dxa"/>
          </w:tcPr>
          <w:p w:rsidR="006266E5" w:rsidRPr="007A275F" w:rsidRDefault="006266E5" w:rsidP="006266E5">
            <w:pPr>
              <w:jc w:val="center"/>
              <w:rPr>
                <w:rFonts w:ascii="Garamond" w:hAnsi="Garamond" w:cs="Times New Roman"/>
                <w:b/>
                <w:color w:val="000000" w:themeColor="text1"/>
              </w:rPr>
            </w:pPr>
            <w:r>
              <w:rPr>
                <w:rFonts w:ascii="Garamond" w:hAnsi="Garamond" w:cs="Times New Roman"/>
                <w:b/>
                <w:color w:val="000000" w:themeColor="text1"/>
              </w:rPr>
              <w:t>181 days to 1 Year</w:t>
            </w:r>
          </w:p>
        </w:tc>
        <w:tc>
          <w:tcPr>
            <w:tcW w:w="990" w:type="dxa"/>
            <w:tcBorders>
              <w:right w:val="single" w:sz="18" w:space="0" w:color="auto"/>
            </w:tcBorders>
          </w:tcPr>
          <w:p w:rsidR="006266E5" w:rsidRPr="007A275F" w:rsidRDefault="006266E5" w:rsidP="006266E5">
            <w:pPr>
              <w:rPr>
                <w:rFonts w:ascii="Garamond" w:hAnsi="Garamond" w:cs="Times New Roman"/>
                <w:b/>
                <w:color w:val="000000" w:themeColor="text1"/>
              </w:rPr>
            </w:pPr>
            <w:r w:rsidRPr="007A275F">
              <w:rPr>
                <w:rFonts w:ascii="Garamond" w:hAnsi="Garamond" w:cs="Times New Roman"/>
                <w:b/>
                <w:color w:val="000000" w:themeColor="text1"/>
              </w:rPr>
              <w:t>&gt;</w:t>
            </w:r>
            <w:r>
              <w:rPr>
                <w:rFonts w:ascii="Garamond" w:hAnsi="Garamond" w:cs="Times New Roman"/>
                <w:b/>
                <w:color w:val="000000" w:themeColor="text1"/>
              </w:rPr>
              <w:t>1</w:t>
            </w:r>
            <w:r w:rsidRPr="007A275F">
              <w:rPr>
                <w:rFonts w:ascii="Garamond" w:hAnsi="Garamond" w:cs="Times New Roman"/>
                <w:b/>
                <w:color w:val="000000" w:themeColor="text1"/>
              </w:rPr>
              <w:t xml:space="preserve"> Year</w:t>
            </w:r>
          </w:p>
        </w:tc>
        <w:tc>
          <w:tcPr>
            <w:tcW w:w="1066" w:type="dxa"/>
            <w:tcBorders>
              <w:left w:val="single" w:sz="18" w:space="0" w:color="auto"/>
            </w:tcBorders>
          </w:tcPr>
          <w:p w:rsidR="006266E5" w:rsidRPr="003017A2" w:rsidRDefault="006266E5" w:rsidP="006266E5">
            <w:pPr>
              <w:rPr>
                <w:rFonts w:ascii="Garamond" w:hAnsi="Garamond" w:cs="Times New Roman"/>
                <w:b/>
                <w:color w:val="000000" w:themeColor="text1"/>
              </w:rPr>
            </w:pPr>
            <w:r w:rsidRPr="003017A2">
              <w:rPr>
                <w:rFonts w:ascii="Garamond" w:hAnsi="Garamond" w:cs="Times New Roman"/>
                <w:b/>
                <w:color w:val="000000" w:themeColor="text1"/>
              </w:rPr>
              <w:t>Average</w:t>
            </w:r>
          </w:p>
        </w:tc>
        <w:tc>
          <w:tcPr>
            <w:tcW w:w="932" w:type="dxa"/>
          </w:tcPr>
          <w:p w:rsidR="006266E5" w:rsidRPr="007A275F" w:rsidRDefault="006266E5" w:rsidP="006266E5">
            <w:pPr>
              <w:rPr>
                <w:rFonts w:ascii="Garamond" w:hAnsi="Garamond" w:cs="Times New Roman"/>
                <w:b/>
                <w:color w:val="000000" w:themeColor="text1"/>
              </w:rPr>
            </w:pPr>
            <w:r>
              <w:rPr>
                <w:rFonts w:ascii="Garamond" w:hAnsi="Garamond" w:cs="Times New Roman"/>
                <w:b/>
                <w:color w:val="000000" w:themeColor="text1"/>
              </w:rPr>
              <w:t>Median</w:t>
            </w:r>
          </w:p>
        </w:tc>
      </w:tr>
      <w:tr w:rsidR="006266E5" w:rsidTr="006266E5">
        <w:tc>
          <w:tcPr>
            <w:tcW w:w="1509" w:type="dxa"/>
          </w:tcPr>
          <w:p w:rsidR="006266E5" w:rsidRDefault="006266E5" w:rsidP="006266E5">
            <w:pPr>
              <w:jc w:val="center"/>
              <w:rPr>
                <w:rFonts w:ascii="Garamond" w:hAnsi="Garamond" w:cs="Times New Roman"/>
                <w:color w:val="000000" w:themeColor="text1"/>
              </w:rPr>
            </w:pPr>
            <w:r>
              <w:rPr>
                <w:rFonts w:ascii="Garamond" w:hAnsi="Garamond" w:cs="Times New Roman"/>
                <w:color w:val="000000" w:themeColor="text1"/>
              </w:rPr>
              <w:t xml:space="preserve">Small </w:t>
            </w:r>
          </w:p>
        </w:tc>
        <w:tc>
          <w:tcPr>
            <w:tcW w:w="708" w:type="dxa"/>
          </w:tcPr>
          <w:p w:rsidR="006266E5" w:rsidRDefault="006266E5" w:rsidP="006266E5">
            <w:pPr>
              <w:jc w:val="center"/>
              <w:rPr>
                <w:rFonts w:ascii="Garamond" w:hAnsi="Garamond" w:cs="Times New Roman"/>
                <w:color w:val="000000" w:themeColor="text1"/>
              </w:rPr>
            </w:pPr>
            <w:r>
              <w:rPr>
                <w:rFonts w:ascii="Garamond" w:hAnsi="Garamond" w:cs="Times New Roman"/>
                <w:color w:val="000000" w:themeColor="text1"/>
              </w:rPr>
              <w:t>2</w:t>
            </w:r>
          </w:p>
        </w:tc>
        <w:tc>
          <w:tcPr>
            <w:tcW w:w="782" w:type="dxa"/>
          </w:tcPr>
          <w:p w:rsidR="006266E5" w:rsidRDefault="006266E5" w:rsidP="006266E5">
            <w:pPr>
              <w:jc w:val="center"/>
              <w:rPr>
                <w:rFonts w:ascii="Garamond" w:hAnsi="Garamond" w:cs="Times New Roman"/>
                <w:color w:val="000000" w:themeColor="text1"/>
              </w:rPr>
            </w:pPr>
            <w:r>
              <w:rPr>
                <w:rFonts w:ascii="Garamond" w:hAnsi="Garamond" w:cs="Times New Roman"/>
                <w:color w:val="000000" w:themeColor="text1"/>
              </w:rPr>
              <w:t>3</w:t>
            </w:r>
          </w:p>
        </w:tc>
        <w:tc>
          <w:tcPr>
            <w:tcW w:w="799" w:type="dxa"/>
          </w:tcPr>
          <w:p w:rsidR="006266E5" w:rsidRDefault="006266E5" w:rsidP="006266E5">
            <w:pPr>
              <w:jc w:val="center"/>
              <w:rPr>
                <w:rFonts w:ascii="Garamond" w:hAnsi="Garamond" w:cs="Times New Roman"/>
                <w:color w:val="000000" w:themeColor="text1"/>
              </w:rPr>
            </w:pPr>
            <w:r>
              <w:rPr>
                <w:rFonts w:ascii="Garamond" w:hAnsi="Garamond" w:cs="Times New Roman"/>
                <w:color w:val="000000" w:themeColor="text1"/>
              </w:rPr>
              <w:t>12</w:t>
            </w:r>
          </w:p>
        </w:tc>
        <w:tc>
          <w:tcPr>
            <w:tcW w:w="874" w:type="dxa"/>
          </w:tcPr>
          <w:p w:rsidR="006266E5" w:rsidRDefault="006266E5" w:rsidP="006266E5">
            <w:pPr>
              <w:jc w:val="center"/>
              <w:rPr>
                <w:rFonts w:ascii="Garamond" w:hAnsi="Garamond" w:cs="Times New Roman"/>
                <w:color w:val="000000" w:themeColor="text1"/>
              </w:rPr>
            </w:pPr>
            <w:r>
              <w:rPr>
                <w:rFonts w:ascii="Garamond" w:hAnsi="Garamond" w:cs="Times New Roman"/>
                <w:color w:val="000000" w:themeColor="text1"/>
              </w:rPr>
              <w:t>51</w:t>
            </w:r>
          </w:p>
        </w:tc>
        <w:tc>
          <w:tcPr>
            <w:tcW w:w="1088" w:type="dxa"/>
          </w:tcPr>
          <w:p w:rsidR="006266E5" w:rsidRDefault="006266E5" w:rsidP="006266E5">
            <w:pPr>
              <w:jc w:val="center"/>
              <w:rPr>
                <w:rFonts w:ascii="Garamond" w:hAnsi="Garamond" w:cs="Times New Roman"/>
                <w:color w:val="000000" w:themeColor="text1"/>
              </w:rPr>
            </w:pPr>
            <w:r>
              <w:rPr>
                <w:rFonts w:ascii="Garamond" w:hAnsi="Garamond" w:cs="Times New Roman"/>
                <w:color w:val="000000" w:themeColor="text1"/>
              </w:rPr>
              <w:t>32</w:t>
            </w:r>
          </w:p>
        </w:tc>
        <w:tc>
          <w:tcPr>
            <w:tcW w:w="990" w:type="dxa"/>
            <w:tcBorders>
              <w:right w:val="single" w:sz="18" w:space="0" w:color="auto"/>
            </w:tcBorders>
          </w:tcPr>
          <w:p w:rsidR="006266E5" w:rsidRDefault="006266E5" w:rsidP="006266E5">
            <w:pPr>
              <w:jc w:val="center"/>
              <w:rPr>
                <w:rFonts w:ascii="Garamond" w:hAnsi="Garamond" w:cs="Times New Roman"/>
                <w:color w:val="000000" w:themeColor="text1"/>
              </w:rPr>
            </w:pPr>
            <w:r>
              <w:rPr>
                <w:rFonts w:ascii="Garamond" w:hAnsi="Garamond" w:cs="Times New Roman"/>
                <w:color w:val="000000" w:themeColor="text1"/>
              </w:rPr>
              <w:t>23</w:t>
            </w:r>
          </w:p>
        </w:tc>
        <w:tc>
          <w:tcPr>
            <w:tcW w:w="1066" w:type="dxa"/>
            <w:tcBorders>
              <w:left w:val="single" w:sz="18" w:space="0" w:color="auto"/>
            </w:tcBorders>
          </w:tcPr>
          <w:p w:rsidR="006266E5" w:rsidRDefault="006266E5" w:rsidP="006266E5">
            <w:pPr>
              <w:jc w:val="center"/>
              <w:rPr>
                <w:rFonts w:ascii="Garamond" w:hAnsi="Garamond" w:cs="Times New Roman"/>
                <w:color w:val="000000" w:themeColor="text1"/>
              </w:rPr>
            </w:pPr>
            <w:r>
              <w:rPr>
                <w:rFonts w:ascii="Garamond" w:hAnsi="Garamond" w:cs="Times New Roman"/>
                <w:color w:val="000000" w:themeColor="text1"/>
              </w:rPr>
              <w:t>224</w:t>
            </w:r>
          </w:p>
        </w:tc>
        <w:tc>
          <w:tcPr>
            <w:tcW w:w="932" w:type="dxa"/>
          </w:tcPr>
          <w:p w:rsidR="006266E5" w:rsidRDefault="006266E5" w:rsidP="006266E5">
            <w:pPr>
              <w:jc w:val="center"/>
              <w:rPr>
                <w:rFonts w:ascii="Garamond" w:hAnsi="Garamond" w:cs="Times New Roman"/>
                <w:color w:val="000000" w:themeColor="text1"/>
              </w:rPr>
            </w:pPr>
            <w:r>
              <w:rPr>
                <w:rFonts w:ascii="Garamond" w:hAnsi="Garamond" w:cs="Times New Roman"/>
                <w:color w:val="000000" w:themeColor="text1"/>
              </w:rPr>
              <w:t>161</w:t>
            </w:r>
          </w:p>
        </w:tc>
      </w:tr>
      <w:tr w:rsidR="006266E5" w:rsidTr="006266E5">
        <w:tc>
          <w:tcPr>
            <w:tcW w:w="1509" w:type="dxa"/>
          </w:tcPr>
          <w:p w:rsidR="006266E5" w:rsidRDefault="006266E5" w:rsidP="006266E5">
            <w:pPr>
              <w:jc w:val="center"/>
              <w:rPr>
                <w:rFonts w:ascii="Garamond" w:hAnsi="Garamond" w:cs="Times New Roman"/>
                <w:color w:val="000000" w:themeColor="text1"/>
              </w:rPr>
            </w:pPr>
            <w:r>
              <w:rPr>
                <w:rFonts w:ascii="Garamond" w:hAnsi="Garamond" w:cs="Times New Roman"/>
                <w:color w:val="000000" w:themeColor="text1"/>
              </w:rPr>
              <w:t xml:space="preserve">All Debtors </w:t>
            </w:r>
          </w:p>
        </w:tc>
        <w:tc>
          <w:tcPr>
            <w:tcW w:w="708" w:type="dxa"/>
          </w:tcPr>
          <w:p w:rsidR="006266E5" w:rsidRPr="003017A2" w:rsidRDefault="006266E5" w:rsidP="006266E5">
            <w:pPr>
              <w:jc w:val="center"/>
              <w:rPr>
                <w:rFonts w:ascii="Garamond" w:hAnsi="Garamond" w:cs="Times New Roman"/>
                <w:color w:val="000000" w:themeColor="text1"/>
              </w:rPr>
            </w:pPr>
            <w:r w:rsidRPr="003017A2">
              <w:rPr>
                <w:rFonts w:ascii="Garamond" w:hAnsi="Garamond" w:cs="Times New Roman"/>
                <w:color w:val="000000" w:themeColor="text1"/>
              </w:rPr>
              <w:t>7</w:t>
            </w:r>
          </w:p>
        </w:tc>
        <w:tc>
          <w:tcPr>
            <w:tcW w:w="782" w:type="dxa"/>
          </w:tcPr>
          <w:p w:rsidR="006266E5" w:rsidRPr="003017A2" w:rsidRDefault="006266E5" w:rsidP="006266E5">
            <w:pPr>
              <w:jc w:val="center"/>
              <w:rPr>
                <w:rFonts w:ascii="Garamond" w:hAnsi="Garamond" w:cs="Times New Roman"/>
                <w:color w:val="000000" w:themeColor="text1"/>
              </w:rPr>
            </w:pPr>
            <w:r w:rsidRPr="003017A2">
              <w:rPr>
                <w:rFonts w:ascii="Garamond" w:hAnsi="Garamond" w:cs="Times New Roman"/>
                <w:color w:val="000000" w:themeColor="text1"/>
              </w:rPr>
              <w:t>9</w:t>
            </w:r>
          </w:p>
        </w:tc>
        <w:tc>
          <w:tcPr>
            <w:tcW w:w="799" w:type="dxa"/>
          </w:tcPr>
          <w:p w:rsidR="006266E5" w:rsidRPr="003017A2" w:rsidRDefault="006266E5" w:rsidP="006266E5">
            <w:pPr>
              <w:jc w:val="center"/>
              <w:rPr>
                <w:rFonts w:ascii="Garamond" w:hAnsi="Garamond" w:cs="Times New Roman"/>
                <w:color w:val="000000" w:themeColor="text1"/>
              </w:rPr>
            </w:pPr>
            <w:r>
              <w:rPr>
                <w:rFonts w:ascii="Garamond" w:hAnsi="Garamond" w:cs="Times New Roman"/>
                <w:color w:val="000000" w:themeColor="text1"/>
              </w:rPr>
              <w:t>36</w:t>
            </w:r>
          </w:p>
        </w:tc>
        <w:tc>
          <w:tcPr>
            <w:tcW w:w="874" w:type="dxa"/>
          </w:tcPr>
          <w:p w:rsidR="006266E5" w:rsidRPr="003017A2" w:rsidRDefault="006266E5" w:rsidP="006266E5">
            <w:pPr>
              <w:jc w:val="center"/>
              <w:rPr>
                <w:rFonts w:ascii="Garamond" w:hAnsi="Garamond" w:cs="Times New Roman"/>
                <w:color w:val="000000" w:themeColor="text1"/>
              </w:rPr>
            </w:pPr>
            <w:r w:rsidRPr="003017A2">
              <w:rPr>
                <w:rFonts w:ascii="Garamond" w:hAnsi="Garamond" w:cs="Times New Roman"/>
                <w:color w:val="000000" w:themeColor="text1"/>
              </w:rPr>
              <w:t>100</w:t>
            </w:r>
          </w:p>
        </w:tc>
        <w:tc>
          <w:tcPr>
            <w:tcW w:w="1088" w:type="dxa"/>
          </w:tcPr>
          <w:p w:rsidR="006266E5" w:rsidRPr="003017A2" w:rsidRDefault="006266E5" w:rsidP="006266E5">
            <w:pPr>
              <w:jc w:val="center"/>
              <w:rPr>
                <w:rFonts w:ascii="Garamond" w:hAnsi="Garamond" w:cs="Times New Roman"/>
                <w:color w:val="000000" w:themeColor="text1"/>
              </w:rPr>
            </w:pPr>
            <w:r w:rsidRPr="003017A2">
              <w:rPr>
                <w:rFonts w:ascii="Garamond" w:hAnsi="Garamond" w:cs="Times New Roman"/>
                <w:color w:val="000000" w:themeColor="text1"/>
              </w:rPr>
              <w:t>69</w:t>
            </w:r>
          </w:p>
        </w:tc>
        <w:tc>
          <w:tcPr>
            <w:tcW w:w="990" w:type="dxa"/>
            <w:tcBorders>
              <w:right w:val="single" w:sz="18" w:space="0" w:color="auto"/>
            </w:tcBorders>
          </w:tcPr>
          <w:p w:rsidR="006266E5" w:rsidRPr="003017A2" w:rsidRDefault="006266E5" w:rsidP="006266E5">
            <w:pPr>
              <w:jc w:val="center"/>
              <w:rPr>
                <w:rFonts w:ascii="Garamond" w:hAnsi="Garamond" w:cs="Times New Roman"/>
                <w:color w:val="000000" w:themeColor="text1"/>
              </w:rPr>
            </w:pPr>
            <w:r w:rsidRPr="003017A2">
              <w:rPr>
                <w:rFonts w:ascii="Garamond" w:hAnsi="Garamond" w:cs="Times New Roman"/>
                <w:color w:val="000000" w:themeColor="text1"/>
              </w:rPr>
              <w:t>44</w:t>
            </w:r>
          </w:p>
        </w:tc>
        <w:tc>
          <w:tcPr>
            <w:tcW w:w="1066" w:type="dxa"/>
            <w:tcBorders>
              <w:left w:val="single" w:sz="18" w:space="0" w:color="auto"/>
            </w:tcBorders>
          </w:tcPr>
          <w:p w:rsidR="006266E5" w:rsidRDefault="006266E5" w:rsidP="006266E5">
            <w:pPr>
              <w:jc w:val="center"/>
              <w:rPr>
                <w:rFonts w:ascii="Garamond" w:hAnsi="Garamond" w:cs="Times New Roman"/>
                <w:color w:val="000000" w:themeColor="text1"/>
              </w:rPr>
            </w:pPr>
            <w:r>
              <w:rPr>
                <w:rFonts w:ascii="Garamond" w:hAnsi="Garamond" w:cs="Times New Roman"/>
                <w:color w:val="000000" w:themeColor="text1"/>
              </w:rPr>
              <w:t>220</w:t>
            </w:r>
          </w:p>
        </w:tc>
        <w:tc>
          <w:tcPr>
            <w:tcW w:w="932" w:type="dxa"/>
          </w:tcPr>
          <w:p w:rsidR="006266E5" w:rsidRDefault="006266E5" w:rsidP="006266E5">
            <w:pPr>
              <w:jc w:val="center"/>
              <w:rPr>
                <w:rFonts w:ascii="Garamond" w:hAnsi="Garamond" w:cs="Times New Roman"/>
                <w:color w:val="000000" w:themeColor="text1"/>
              </w:rPr>
            </w:pPr>
            <w:r>
              <w:rPr>
                <w:rFonts w:ascii="Garamond" w:hAnsi="Garamond" w:cs="Times New Roman"/>
                <w:color w:val="000000" w:themeColor="text1"/>
              </w:rPr>
              <w:t>150</w:t>
            </w:r>
          </w:p>
        </w:tc>
      </w:tr>
    </w:tbl>
    <w:p w:rsidR="006266E5" w:rsidRDefault="006266E5" w:rsidP="006266E5">
      <w:pPr>
        <w:rPr>
          <w:rFonts w:cs="Times New Roman"/>
          <w:color w:val="000000" w:themeColor="text1"/>
          <w:sz w:val="18"/>
          <w:szCs w:val="18"/>
        </w:rPr>
      </w:pPr>
      <w:r w:rsidRPr="007A275F">
        <w:rPr>
          <w:rFonts w:cs="Times New Roman"/>
          <w:color w:val="000000" w:themeColor="text1"/>
          <w:sz w:val="18"/>
          <w:szCs w:val="18"/>
          <w:vertAlign w:val="superscript"/>
        </w:rPr>
        <w:t>a</w:t>
      </w:r>
      <w:r w:rsidRPr="007A275F">
        <w:rPr>
          <w:rFonts w:cs="Times New Roman"/>
          <w:color w:val="000000" w:themeColor="text1"/>
          <w:sz w:val="18"/>
          <w:szCs w:val="18"/>
        </w:rPr>
        <w:t xml:space="preserve">Sixty days was the </w:t>
      </w:r>
      <w:r>
        <w:rPr>
          <w:rFonts w:cs="Times New Roman"/>
          <w:color w:val="000000" w:themeColor="text1"/>
          <w:sz w:val="18"/>
          <w:szCs w:val="18"/>
        </w:rPr>
        <w:t xml:space="preserve">1997 </w:t>
      </w:r>
      <w:r w:rsidRPr="007A275F">
        <w:rPr>
          <w:rFonts w:cs="Times New Roman"/>
          <w:color w:val="000000" w:themeColor="text1"/>
          <w:sz w:val="18"/>
          <w:szCs w:val="18"/>
        </w:rPr>
        <w:t>Commission’s recommended time frame.</w:t>
      </w:r>
    </w:p>
    <w:p w:rsidR="0027061B" w:rsidRPr="007A275F" w:rsidRDefault="0027061B" w:rsidP="006266E5">
      <w:pPr>
        <w:rPr>
          <w:rFonts w:cs="Times New Roman"/>
          <w:color w:val="000000" w:themeColor="text1"/>
          <w:sz w:val="18"/>
          <w:szCs w:val="18"/>
        </w:rPr>
      </w:pPr>
    </w:p>
    <w:p w:rsidR="0027061B" w:rsidRDefault="0027061B" w:rsidP="0027061B">
      <w:pPr>
        <w:spacing w:after="0"/>
        <w:ind w:left="720"/>
        <w:jc w:val="center"/>
        <w:rPr>
          <w:rFonts w:cs="Times New Roman"/>
          <w:b/>
          <w:color w:val="000000" w:themeColor="text1"/>
        </w:rPr>
      </w:pPr>
      <w:r>
        <w:rPr>
          <w:rFonts w:cs="Times New Roman"/>
          <w:b/>
          <w:color w:val="000000" w:themeColor="text1"/>
        </w:rPr>
        <w:t>Table VIII: Time to Confirmation in Days from First Plan Proposal</w:t>
      </w:r>
    </w:p>
    <w:p w:rsidR="0027061B" w:rsidRDefault="0027061B" w:rsidP="0027061B">
      <w:pPr>
        <w:spacing w:after="0"/>
        <w:ind w:left="720"/>
        <w:jc w:val="center"/>
        <w:rPr>
          <w:rFonts w:cs="Times New Roman"/>
          <w:b/>
          <w:color w:val="000000" w:themeColor="text1"/>
        </w:rPr>
      </w:pPr>
      <w:r>
        <w:rPr>
          <w:rFonts w:cs="Times New Roman"/>
          <w:b/>
          <w:color w:val="000000" w:themeColor="text1"/>
        </w:rPr>
        <w:t>Taking Account of Groups of Affiliated Debtors</w:t>
      </w:r>
    </w:p>
    <w:tbl>
      <w:tblPr>
        <w:tblStyle w:val="TableGrid"/>
        <w:tblW w:w="0" w:type="auto"/>
        <w:tblInd w:w="108" w:type="dxa"/>
        <w:tblLayout w:type="fixed"/>
        <w:tblLook w:val="04A0" w:firstRow="1" w:lastRow="0" w:firstColumn="1" w:lastColumn="0" w:noHBand="0" w:noVBand="1"/>
      </w:tblPr>
      <w:tblGrid>
        <w:gridCol w:w="1509"/>
        <w:gridCol w:w="708"/>
        <w:gridCol w:w="782"/>
        <w:gridCol w:w="799"/>
        <w:gridCol w:w="874"/>
        <w:gridCol w:w="1088"/>
        <w:gridCol w:w="990"/>
        <w:gridCol w:w="1066"/>
        <w:gridCol w:w="932"/>
      </w:tblGrid>
      <w:tr w:rsidR="0027061B" w:rsidTr="00AA241B">
        <w:tc>
          <w:tcPr>
            <w:tcW w:w="1509" w:type="dxa"/>
          </w:tcPr>
          <w:p w:rsidR="0027061B" w:rsidRPr="007A275F" w:rsidRDefault="0027061B" w:rsidP="00AA241B">
            <w:pPr>
              <w:jc w:val="center"/>
              <w:rPr>
                <w:rFonts w:ascii="Garamond" w:hAnsi="Garamond" w:cs="Times New Roman"/>
                <w:b/>
                <w:color w:val="000000" w:themeColor="text1"/>
              </w:rPr>
            </w:pPr>
            <w:r>
              <w:rPr>
                <w:rFonts w:ascii="Garamond" w:hAnsi="Garamond" w:cs="Times New Roman"/>
                <w:b/>
                <w:color w:val="000000" w:themeColor="text1"/>
              </w:rPr>
              <w:t>Type of Debtor</w:t>
            </w:r>
          </w:p>
        </w:tc>
        <w:tc>
          <w:tcPr>
            <w:tcW w:w="708" w:type="dxa"/>
          </w:tcPr>
          <w:p w:rsidR="0027061B" w:rsidRPr="007A275F" w:rsidRDefault="0027061B" w:rsidP="00AA241B">
            <w:pPr>
              <w:jc w:val="center"/>
              <w:rPr>
                <w:rFonts w:ascii="Garamond" w:hAnsi="Garamond" w:cs="Times New Roman"/>
                <w:b/>
                <w:color w:val="000000" w:themeColor="text1"/>
              </w:rPr>
            </w:pPr>
            <w:r>
              <w:rPr>
                <w:rFonts w:ascii="Garamond" w:hAnsi="Garamond" w:cs="Times New Roman"/>
                <w:b/>
                <w:color w:val="000000" w:themeColor="text1"/>
              </w:rPr>
              <w:t>1-</w:t>
            </w:r>
            <w:r w:rsidRPr="007A275F">
              <w:rPr>
                <w:rFonts w:ascii="Garamond" w:hAnsi="Garamond" w:cs="Times New Roman"/>
                <w:b/>
                <w:color w:val="000000" w:themeColor="text1"/>
              </w:rPr>
              <w:t xml:space="preserve">45 </w:t>
            </w:r>
          </w:p>
        </w:tc>
        <w:tc>
          <w:tcPr>
            <w:tcW w:w="782" w:type="dxa"/>
          </w:tcPr>
          <w:p w:rsidR="0027061B" w:rsidRPr="007A275F" w:rsidRDefault="0027061B" w:rsidP="00AA241B">
            <w:pPr>
              <w:jc w:val="center"/>
              <w:rPr>
                <w:rFonts w:ascii="Garamond" w:hAnsi="Garamond" w:cs="Times New Roman"/>
                <w:b/>
                <w:color w:val="000000" w:themeColor="text1"/>
                <w:vertAlign w:val="superscript"/>
              </w:rPr>
            </w:pPr>
            <w:r>
              <w:rPr>
                <w:rFonts w:ascii="Garamond" w:hAnsi="Garamond" w:cs="Times New Roman"/>
                <w:b/>
                <w:color w:val="000000" w:themeColor="text1"/>
              </w:rPr>
              <w:t>46-60</w:t>
            </w:r>
            <w:r>
              <w:rPr>
                <w:rFonts w:ascii="Garamond" w:hAnsi="Garamond" w:cs="Times New Roman"/>
                <w:b/>
                <w:color w:val="000000" w:themeColor="text1"/>
                <w:vertAlign w:val="superscript"/>
              </w:rPr>
              <w:t>a</w:t>
            </w:r>
          </w:p>
        </w:tc>
        <w:tc>
          <w:tcPr>
            <w:tcW w:w="799" w:type="dxa"/>
          </w:tcPr>
          <w:p w:rsidR="0027061B" w:rsidRPr="007A275F" w:rsidRDefault="0027061B" w:rsidP="00AA241B">
            <w:pPr>
              <w:jc w:val="center"/>
              <w:rPr>
                <w:rFonts w:ascii="Garamond" w:hAnsi="Garamond" w:cs="Times New Roman"/>
                <w:b/>
                <w:color w:val="000000" w:themeColor="text1"/>
              </w:rPr>
            </w:pPr>
            <w:r>
              <w:rPr>
                <w:rFonts w:ascii="Garamond" w:hAnsi="Garamond" w:cs="Times New Roman"/>
                <w:b/>
                <w:color w:val="000000" w:themeColor="text1"/>
              </w:rPr>
              <w:t>61-</w:t>
            </w:r>
            <w:r w:rsidRPr="007A275F">
              <w:rPr>
                <w:rFonts w:ascii="Garamond" w:hAnsi="Garamond" w:cs="Times New Roman"/>
                <w:b/>
                <w:color w:val="000000" w:themeColor="text1"/>
              </w:rPr>
              <w:t xml:space="preserve">90 </w:t>
            </w:r>
          </w:p>
        </w:tc>
        <w:tc>
          <w:tcPr>
            <w:tcW w:w="874" w:type="dxa"/>
          </w:tcPr>
          <w:p w:rsidR="0027061B" w:rsidRPr="007A275F" w:rsidRDefault="0027061B" w:rsidP="00AA241B">
            <w:pPr>
              <w:jc w:val="center"/>
              <w:rPr>
                <w:rFonts w:ascii="Garamond" w:hAnsi="Garamond" w:cs="Times New Roman"/>
                <w:b/>
                <w:color w:val="000000" w:themeColor="text1"/>
              </w:rPr>
            </w:pPr>
            <w:r>
              <w:rPr>
                <w:rFonts w:ascii="Garamond" w:hAnsi="Garamond" w:cs="Times New Roman"/>
                <w:b/>
                <w:color w:val="000000" w:themeColor="text1"/>
              </w:rPr>
              <w:t>91-180</w:t>
            </w:r>
          </w:p>
        </w:tc>
        <w:tc>
          <w:tcPr>
            <w:tcW w:w="1088" w:type="dxa"/>
          </w:tcPr>
          <w:p w:rsidR="0027061B" w:rsidRPr="007A275F" w:rsidRDefault="0027061B" w:rsidP="00AA241B">
            <w:pPr>
              <w:jc w:val="center"/>
              <w:rPr>
                <w:rFonts w:ascii="Garamond" w:hAnsi="Garamond" w:cs="Times New Roman"/>
                <w:b/>
                <w:color w:val="000000" w:themeColor="text1"/>
              </w:rPr>
            </w:pPr>
            <w:r>
              <w:rPr>
                <w:rFonts w:ascii="Garamond" w:hAnsi="Garamond" w:cs="Times New Roman"/>
                <w:b/>
                <w:color w:val="000000" w:themeColor="text1"/>
              </w:rPr>
              <w:t>181 days to 1 Year</w:t>
            </w:r>
          </w:p>
        </w:tc>
        <w:tc>
          <w:tcPr>
            <w:tcW w:w="990" w:type="dxa"/>
            <w:tcBorders>
              <w:right w:val="single" w:sz="18" w:space="0" w:color="auto"/>
            </w:tcBorders>
          </w:tcPr>
          <w:p w:rsidR="0027061B" w:rsidRPr="007A275F" w:rsidRDefault="0027061B" w:rsidP="00AA241B">
            <w:pPr>
              <w:rPr>
                <w:rFonts w:ascii="Garamond" w:hAnsi="Garamond" w:cs="Times New Roman"/>
                <w:b/>
                <w:color w:val="000000" w:themeColor="text1"/>
              </w:rPr>
            </w:pPr>
            <w:r w:rsidRPr="007A275F">
              <w:rPr>
                <w:rFonts w:ascii="Garamond" w:hAnsi="Garamond" w:cs="Times New Roman"/>
                <w:b/>
                <w:color w:val="000000" w:themeColor="text1"/>
              </w:rPr>
              <w:t>&gt;</w:t>
            </w:r>
            <w:r>
              <w:rPr>
                <w:rFonts w:ascii="Garamond" w:hAnsi="Garamond" w:cs="Times New Roman"/>
                <w:b/>
                <w:color w:val="000000" w:themeColor="text1"/>
              </w:rPr>
              <w:t>1</w:t>
            </w:r>
            <w:r w:rsidRPr="007A275F">
              <w:rPr>
                <w:rFonts w:ascii="Garamond" w:hAnsi="Garamond" w:cs="Times New Roman"/>
                <w:b/>
                <w:color w:val="000000" w:themeColor="text1"/>
              </w:rPr>
              <w:t xml:space="preserve"> Year</w:t>
            </w:r>
          </w:p>
        </w:tc>
        <w:tc>
          <w:tcPr>
            <w:tcW w:w="1066" w:type="dxa"/>
            <w:tcBorders>
              <w:left w:val="single" w:sz="18" w:space="0" w:color="auto"/>
            </w:tcBorders>
          </w:tcPr>
          <w:p w:rsidR="0027061B" w:rsidRPr="003017A2" w:rsidRDefault="0027061B" w:rsidP="00AA241B">
            <w:pPr>
              <w:rPr>
                <w:rFonts w:ascii="Garamond" w:hAnsi="Garamond" w:cs="Times New Roman"/>
                <w:b/>
                <w:color w:val="000000" w:themeColor="text1"/>
              </w:rPr>
            </w:pPr>
            <w:r w:rsidRPr="003017A2">
              <w:rPr>
                <w:rFonts w:ascii="Garamond" w:hAnsi="Garamond" w:cs="Times New Roman"/>
                <w:b/>
                <w:color w:val="000000" w:themeColor="text1"/>
              </w:rPr>
              <w:t>Average</w:t>
            </w:r>
          </w:p>
        </w:tc>
        <w:tc>
          <w:tcPr>
            <w:tcW w:w="932" w:type="dxa"/>
          </w:tcPr>
          <w:p w:rsidR="0027061B" w:rsidRPr="007A275F" w:rsidRDefault="0027061B" w:rsidP="00AA241B">
            <w:pPr>
              <w:rPr>
                <w:rFonts w:ascii="Garamond" w:hAnsi="Garamond" w:cs="Times New Roman"/>
                <w:b/>
                <w:color w:val="000000" w:themeColor="text1"/>
              </w:rPr>
            </w:pPr>
            <w:r>
              <w:rPr>
                <w:rFonts w:ascii="Garamond" w:hAnsi="Garamond" w:cs="Times New Roman"/>
                <w:b/>
                <w:color w:val="000000" w:themeColor="text1"/>
              </w:rPr>
              <w:t>Median</w:t>
            </w:r>
          </w:p>
        </w:tc>
      </w:tr>
      <w:tr w:rsidR="0027061B" w:rsidTr="00AA241B">
        <w:tc>
          <w:tcPr>
            <w:tcW w:w="1509" w:type="dxa"/>
          </w:tcPr>
          <w:p w:rsidR="0027061B" w:rsidRDefault="0027061B" w:rsidP="00AA241B">
            <w:pPr>
              <w:jc w:val="center"/>
              <w:rPr>
                <w:rFonts w:ascii="Garamond" w:hAnsi="Garamond" w:cs="Times New Roman"/>
                <w:color w:val="000000" w:themeColor="text1"/>
              </w:rPr>
            </w:pPr>
            <w:r>
              <w:rPr>
                <w:rFonts w:ascii="Garamond" w:hAnsi="Garamond" w:cs="Times New Roman"/>
                <w:color w:val="000000" w:themeColor="text1"/>
              </w:rPr>
              <w:t xml:space="preserve">Small </w:t>
            </w:r>
          </w:p>
        </w:tc>
        <w:tc>
          <w:tcPr>
            <w:tcW w:w="708" w:type="dxa"/>
          </w:tcPr>
          <w:p w:rsidR="0027061B" w:rsidRDefault="00E12631" w:rsidP="00AA241B">
            <w:pPr>
              <w:jc w:val="center"/>
              <w:rPr>
                <w:rFonts w:ascii="Garamond" w:hAnsi="Garamond" w:cs="Times New Roman"/>
                <w:color w:val="000000" w:themeColor="text1"/>
              </w:rPr>
            </w:pPr>
            <w:r>
              <w:rPr>
                <w:rFonts w:ascii="Garamond" w:hAnsi="Garamond" w:cs="Times New Roman"/>
                <w:color w:val="000000" w:themeColor="text1"/>
              </w:rPr>
              <w:t>1</w:t>
            </w:r>
          </w:p>
        </w:tc>
        <w:tc>
          <w:tcPr>
            <w:tcW w:w="782" w:type="dxa"/>
          </w:tcPr>
          <w:p w:rsidR="0027061B" w:rsidRDefault="00775CCF" w:rsidP="00AA241B">
            <w:pPr>
              <w:jc w:val="center"/>
              <w:rPr>
                <w:rFonts w:ascii="Garamond" w:hAnsi="Garamond" w:cs="Times New Roman"/>
                <w:color w:val="000000" w:themeColor="text1"/>
              </w:rPr>
            </w:pPr>
            <w:r>
              <w:rPr>
                <w:rFonts w:ascii="Garamond" w:hAnsi="Garamond" w:cs="Times New Roman"/>
                <w:color w:val="000000" w:themeColor="text1"/>
              </w:rPr>
              <w:t>3</w:t>
            </w:r>
          </w:p>
        </w:tc>
        <w:tc>
          <w:tcPr>
            <w:tcW w:w="799" w:type="dxa"/>
          </w:tcPr>
          <w:p w:rsidR="0027061B" w:rsidRDefault="0027061B" w:rsidP="00AA241B">
            <w:pPr>
              <w:jc w:val="center"/>
              <w:rPr>
                <w:rFonts w:ascii="Garamond" w:hAnsi="Garamond" w:cs="Times New Roman"/>
                <w:color w:val="000000" w:themeColor="text1"/>
              </w:rPr>
            </w:pPr>
            <w:r>
              <w:rPr>
                <w:rFonts w:ascii="Garamond" w:hAnsi="Garamond" w:cs="Times New Roman"/>
                <w:color w:val="000000" w:themeColor="text1"/>
              </w:rPr>
              <w:t>12</w:t>
            </w:r>
          </w:p>
        </w:tc>
        <w:tc>
          <w:tcPr>
            <w:tcW w:w="874" w:type="dxa"/>
          </w:tcPr>
          <w:p w:rsidR="0027061B" w:rsidRDefault="00775CCF" w:rsidP="00AA241B">
            <w:pPr>
              <w:jc w:val="center"/>
              <w:rPr>
                <w:rFonts w:ascii="Garamond" w:hAnsi="Garamond" w:cs="Times New Roman"/>
                <w:color w:val="000000" w:themeColor="text1"/>
              </w:rPr>
            </w:pPr>
            <w:r>
              <w:rPr>
                <w:rFonts w:ascii="Garamond" w:hAnsi="Garamond" w:cs="Times New Roman"/>
                <w:color w:val="000000" w:themeColor="text1"/>
              </w:rPr>
              <w:t>48</w:t>
            </w:r>
          </w:p>
        </w:tc>
        <w:tc>
          <w:tcPr>
            <w:tcW w:w="1088" w:type="dxa"/>
          </w:tcPr>
          <w:p w:rsidR="0027061B" w:rsidRDefault="00775CCF" w:rsidP="00AA241B">
            <w:pPr>
              <w:jc w:val="center"/>
              <w:rPr>
                <w:rFonts w:ascii="Garamond" w:hAnsi="Garamond" w:cs="Times New Roman"/>
                <w:color w:val="000000" w:themeColor="text1"/>
              </w:rPr>
            </w:pPr>
            <w:r>
              <w:rPr>
                <w:rFonts w:ascii="Garamond" w:hAnsi="Garamond" w:cs="Times New Roman"/>
                <w:color w:val="000000" w:themeColor="text1"/>
              </w:rPr>
              <w:t>29</w:t>
            </w:r>
          </w:p>
        </w:tc>
        <w:tc>
          <w:tcPr>
            <w:tcW w:w="990" w:type="dxa"/>
            <w:tcBorders>
              <w:right w:val="single" w:sz="18" w:space="0" w:color="auto"/>
            </w:tcBorders>
          </w:tcPr>
          <w:p w:rsidR="0027061B" w:rsidRDefault="00775CCF" w:rsidP="00775CCF">
            <w:pPr>
              <w:jc w:val="center"/>
              <w:rPr>
                <w:rFonts w:ascii="Garamond" w:hAnsi="Garamond" w:cs="Times New Roman"/>
                <w:color w:val="000000" w:themeColor="text1"/>
              </w:rPr>
            </w:pPr>
            <w:r>
              <w:rPr>
                <w:rFonts w:ascii="Garamond" w:hAnsi="Garamond" w:cs="Times New Roman"/>
                <w:color w:val="000000" w:themeColor="text1"/>
              </w:rPr>
              <w:t>20</w:t>
            </w:r>
          </w:p>
        </w:tc>
        <w:tc>
          <w:tcPr>
            <w:tcW w:w="1066" w:type="dxa"/>
            <w:tcBorders>
              <w:left w:val="single" w:sz="18" w:space="0" w:color="auto"/>
            </w:tcBorders>
          </w:tcPr>
          <w:p w:rsidR="0027061B" w:rsidRDefault="0027061B" w:rsidP="00E12631">
            <w:pPr>
              <w:jc w:val="center"/>
              <w:rPr>
                <w:rFonts w:ascii="Garamond" w:hAnsi="Garamond" w:cs="Times New Roman"/>
                <w:color w:val="000000" w:themeColor="text1"/>
              </w:rPr>
            </w:pPr>
            <w:r>
              <w:rPr>
                <w:rFonts w:ascii="Garamond" w:hAnsi="Garamond" w:cs="Times New Roman"/>
                <w:color w:val="000000" w:themeColor="text1"/>
              </w:rPr>
              <w:t>22</w:t>
            </w:r>
            <w:r w:rsidR="00E12631">
              <w:rPr>
                <w:rFonts w:ascii="Garamond" w:hAnsi="Garamond" w:cs="Times New Roman"/>
                <w:color w:val="000000" w:themeColor="text1"/>
              </w:rPr>
              <w:t>1</w:t>
            </w:r>
          </w:p>
        </w:tc>
        <w:tc>
          <w:tcPr>
            <w:tcW w:w="932" w:type="dxa"/>
          </w:tcPr>
          <w:p w:rsidR="0027061B" w:rsidRDefault="0027061B" w:rsidP="00E12631">
            <w:pPr>
              <w:jc w:val="center"/>
              <w:rPr>
                <w:rFonts w:ascii="Garamond" w:hAnsi="Garamond" w:cs="Times New Roman"/>
                <w:color w:val="000000" w:themeColor="text1"/>
              </w:rPr>
            </w:pPr>
            <w:r>
              <w:rPr>
                <w:rFonts w:ascii="Garamond" w:hAnsi="Garamond" w:cs="Times New Roman"/>
                <w:color w:val="000000" w:themeColor="text1"/>
              </w:rPr>
              <w:t>1</w:t>
            </w:r>
            <w:r w:rsidR="00E12631">
              <w:rPr>
                <w:rFonts w:ascii="Garamond" w:hAnsi="Garamond" w:cs="Times New Roman"/>
                <w:color w:val="000000" w:themeColor="text1"/>
              </w:rPr>
              <w:t>57</w:t>
            </w:r>
          </w:p>
        </w:tc>
      </w:tr>
      <w:tr w:rsidR="0027061B" w:rsidTr="00AA241B">
        <w:tc>
          <w:tcPr>
            <w:tcW w:w="1509" w:type="dxa"/>
          </w:tcPr>
          <w:p w:rsidR="0027061B" w:rsidRDefault="0027061B" w:rsidP="00AA241B">
            <w:pPr>
              <w:jc w:val="center"/>
              <w:rPr>
                <w:rFonts w:ascii="Garamond" w:hAnsi="Garamond" w:cs="Times New Roman"/>
                <w:color w:val="000000" w:themeColor="text1"/>
              </w:rPr>
            </w:pPr>
            <w:r>
              <w:rPr>
                <w:rFonts w:ascii="Garamond" w:hAnsi="Garamond" w:cs="Times New Roman"/>
                <w:color w:val="000000" w:themeColor="text1"/>
              </w:rPr>
              <w:t xml:space="preserve">All Debtors </w:t>
            </w:r>
          </w:p>
        </w:tc>
        <w:tc>
          <w:tcPr>
            <w:tcW w:w="708" w:type="dxa"/>
          </w:tcPr>
          <w:p w:rsidR="0027061B" w:rsidRPr="003017A2" w:rsidRDefault="0027061B" w:rsidP="00AA241B">
            <w:pPr>
              <w:jc w:val="center"/>
              <w:rPr>
                <w:rFonts w:ascii="Garamond" w:hAnsi="Garamond" w:cs="Times New Roman"/>
                <w:color w:val="000000" w:themeColor="text1"/>
              </w:rPr>
            </w:pPr>
            <w:r w:rsidRPr="003017A2">
              <w:rPr>
                <w:rFonts w:ascii="Garamond" w:hAnsi="Garamond" w:cs="Times New Roman"/>
                <w:color w:val="000000" w:themeColor="text1"/>
              </w:rPr>
              <w:t>7</w:t>
            </w:r>
          </w:p>
        </w:tc>
        <w:tc>
          <w:tcPr>
            <w:tcW w:w="782" w:type="dxa"/>
          </w:tcPr>
          <w:p w:rsidR="0027061B" w:rsidRPr="003017A2" w:rsidRDefault="0027061B" w:rsidP="00AA241B">
            <w:pPr>
              <w:jc w:val="center"/>
              <w:rPr>
                <w:rFonts w:ascii="Garamond" w:hAnsi="Garamond" w:cs="Times New Roman"/>
                <w:color w:val="000000" w:themeColor="text1"/>
              </w:rPr>
            </w:pPr>
            <w:r w:rsidRPr="003017A2">
              <w:rPr>
                <w:rFonts w:ascii="Garamond" w:hAnsi="Garamond" w:cs="Times New Roman"/>
                <w:color w:val="000000" w:themeColor="text1"/>
              </w:rPr>
              <w:t>9</w:t>
            </w:r>
          </w:p>
        </w:tc>
        <w:tc>
          <w:tcPr>
            <w:tcW w:w="799" w:type="dxa"/>
          </w:tcPr>
          <w:p w:rsidR="0027061B" w:rsidRPr="003017A2" w:rsidRDefault="0027061B" w:rsidP="00AA241B">
            <w:pPr>
              <w:jc w:val="center"/>
              <w:rPr>
                <w:rFonts w:ascii="Garamond" w:hAnsi="Garamond" w:cs="Times New Roman"/>
                <w:color w:val="000000" w:themeColor="text1"/>
              </w:rPr>
            </w:pPr>
            <w:r>
              <w:rPr>
                <w:rFonts w:ascii="Garamond" w:hAnsi="Garamond" w:cs="Times New Roman"/>
                <w:color w:val="000000" w:themeColor="text1"/>
              </w:rPr>
              <w:t>36</w:t>
            </w:r>
          </w:p>
        </w:tc>
        <w:tc>
          <w:tcPr>
            <w:tcW w:w="874" w:type="dxa"/>
          </w:tcPr>
          <w:p w:rsidR="0027061B" w:rsidRPr="003017A2" w:rsidRDefault="0027061B" w:rsidP="00AA241B">
            <w:pPr>
              <w:jc w:val="center"/>
              <w:rPr>
                <w:rFonts w:ascii="Garamond" w:hAnsi="Garamond" w:cs="Times New Roman"/>
                <w:color w:val="000000" w:themeColor="text1"/>
              </w:rPr>
            </w:pPr>
            <w:r w:rsidRPr="003017A2">
              <w:rPr>
                <w:rFonts w:ascii="Garamond" w:hAnsi="Garamond" w:cs="Times New Roman"/>
                <w:color w:val="000000" w:themeColor="text1"/>
              </w:rPr>
              <w:t>100</w:t>
            </w:r>
          </w:p>
        </w:tc>
        <w:tc>
          <w:tcPr>
            <w:tcW w:w="1088" w:type="dxa"/>
          </w:tcPr>
          <w:p w:rsidR="0027061B" w:rsidRPr="003017A2" w:rsidRDefault="0027061B" w:rsidP="00AA241B">
            <w:pPr>
              <w:jc w:val="center"/>
              <w:rPr>
                <w:rFonts w:ascii="Garamond" w:hAnsi="Garamond" w:cs="Times New Roman"/>
                <w:color w:val="000000" w:themeColor="text1"/>
              </w:rPr>
            </w:pPr>
            <w:r w:rsidRPr="003017A2">
              <w:rPr>
                <w:rFonts w:ascii="Garamond" w:hAnsi="Garamond" w:cs="Times New Roman"/>
                <w:color w:val="000000" w:themeColor="text1"/>
              </w:rPr>
              <w:t>69</w:t>
            </w:r>
          </w:p>
        </w:tc>
        <w:tc>
          <w:tcPr>
            <w:tcW w:w="990" w:type="dxa"/>
            <w:tcBorders>
              <w:right w:val="single" w:sz="18" w:space="0" w:color="auto"/>
            </w:tcBorders>
          </w:tcPr>
          <w:p w:rsidR="0027061B" w:rsidRPr="003017A2" w:rsidRDefault="0027061B" w:rsidP="00AA241B">
            <w:pPr>
              <w:jc w:val="center"/>
              <w:rPr>
                <w:rFonts w:ascii="Garamond" w:hAnsi="Garamond" w:cs="Times New Roman"/>
                <w:color w:val="000000" w:themeColor="text1"/>
              </w:rPr>
            </w:pPr>
            <w:r w:rsidRPr="003017A2">
              <w:rPr>
                <w:rFonts w:ascii="Garamond" w:hAnsi="Garamond" w:cs="Times New Roman"/>
                <w:color w:val="000000" w:themeColor="text1"/>
              </w:rPr>
              <w:t>44</w:t>
            </w:r>
          </w:p>
        </w:tc>
        <w:tc>
          <w:tcPr>
            <w:tcW w:w="1066" w:type="dxa"/>
            <w:tcBorders>
              <w:left w:val="single" w:sz="18" w:space="0" w:color="auto"/>
            </w:tcBorders>
          </w:tcPr>
          <w:p w:rsidR="0027061B" w:rsidRDefault="0027061B" w:rsidP="00AA241B">
            <w:pPr>
              <w:jc w:val="center"/>
              <w:rPr>
                <w:rFonts w:ascii="Garamond" w:hAnsi="Garamond" w:cs="Times New Roman"/>
                <w:color w:val="000000" w:themeColor="text1"/>
              </w:rPr>
            </w:pPr>
            <w:r>
              <w:rPr>
                <w:rFonts w:ascii="Garamond" w:hAnsi="Garamond" w:cs="Times New Roman"/>
                <w:color w:val="000000" w:themeColor="text1"/>
              </w:rPr>
              <w:t>220</w:t>
            </w:r>
          </w:p>
        </w:tc>
        <w:tc>
          <w:tcPr>
            <w:tcW w:w="932" w:type="dxa"/>
          </w:tcPr>
          <w:p w:rsidR="0027061B" w:rsidRDefault="0027061B" w:rsidP="00AA241B">
            <w:pPr>
              <w:jc w:val="center"/>
              <w:rPr>
                <w:rFonts w:ascii="Garamond" w:hAnsi="Garamond" w:cs="Times New Roman"/>
                <w:color w:val="000000" w:themeColor="text1"/>
              </w:rPr>
            </w:pPr>
            <w:r>
              <w:rPr>
                <w:rFonts w:ascii="Garamond" w:hAnsi="Garamond" w:cs="Times New Roman"/>
                <w:color w:val="000000" w:themeColor="text1"/>
              </w:rPr>
              <w:t>150</w:t>
            </w:r>
          </w:p>
        </w:tc>
      </w:tr>
    </w:tbl>
    <w:p w:rsidR="0027061B" w:rsidRPr="007A275F" w:rsidRDefault="0027061B" w:rsidP="0027061B">
      <w:pPr>
        <w:rPr>
          <w:rFonts w:cs="Times New Roman"/>
          <w:color w:val="000000" w:themeColor="text1"/>
          <w:sz w:val="18"/>
          <w:szCs w:val="18"/>
        </w:rPr>
      </w:pPr>
      <w:r w:rsidRPr="007A275F">
        <w:rPr>
          <w:rFonts w:cs="Times New Roman"/>
          <w:color w:val="000000" w:themeColor="text1"/>
          <w:sz w:val="18"/>
          <w:szCs w:val="18"/>
          <w:vertAlign w:val="superscript"/>
        </w:rPr>
        <w:t>a</w:t>
      </w:r>
      <w:r w:rsidRPr="007A275F">
        <w:rPr>
          <w:rFonts w:cs="Times New Roman"/>
          <w:color w:val="000000" w:themeColor="text1"/>
          <w:sz w:val="18"/>
          <w:szCs w:val="18"/>
        </w:rPr>
        <w:t xml:space="preserve">Sixty days was the </w:t>
      </w:r>
      <w:r>
        <w:rPr>
          <w:rFonts w:cs="Times New Roman"/>
          <w:color w:val="000000" w:themeColor="text1"/>
          <w:sz w:val="18"/>
          <w:szCs w:val="18"/>
        </w:rPr>
        <w:t xml:space="preserve">1997 </w:t>
      </w:r>
      <w:r w:rsidRPr="007A275F">
        <w:rPr>
          <w:rFonts w:cs="Times New Roman"/>
          <w:color w:val="000000" w:themeColor="text1"/>
          <w:sz w:val="18"/>
          <w:szCs w:val="18"/>
        </w:rPr>
        <w:t>Commission’s recommended time frame.</w:t>
      </w:r>
    </w:p>
    <w:p w:rsidR="009B775B" w:rsidRDefault="009B775B" w:rsidP="009B775B">
      <w:pPr>
        <w:rPr>
          <w:rFonts w:cs="Times New Roman"/>
          <w:color w:val="000000" w:themeColor="text1"/>
        </w:rPr>
      </w:pPr>
      <w:r>
        <w:rPr>
          <w:rFonts w:cs="Times New Roman"/>
          <w:color w:val="000000" w:themeColor="text1"/>
        </w:rPr>
        <w:lastRenderedPageBreak/>
        <w:t xml:space="preserve">For the 265 cases with confirmed plans, the average time from first plan proposal to confirmation was 220 days. Median time was 150 days. Thus, half of the debtors with confirmed plans obtained confirmation within 5 months of first proposing a plan. </w:t>
      </w:r>
    </w:p>
    <w:p w:rsidR="00775CCF" w:rsidRDefault="00775CCF" w:rsidP="009B775B">
      <w:pPr>
        <w:rPr>
          <w:rFonts w:cs="Times New Roman"/>
          <w:color w:val="000000" w:themeColor="text1"/>
        </w:rPr>
      </w:pPr>
      <w:r>
        <w:rPr>
          <w:rFonts w:cs="Times New Roman"/>
          <w:color w:val="000000" w:themeColor="text1"/>
        </w:rPr>
        <w:t>Using the figures from Table VIII, 113 of</w:t>
      </w:r>
      <w:r w:rsidR="009B775B">
        <w:rPr>
          <w:rFonts w:cs="Times New Roman"/>
          <w:color w:val="000000" w:themeColor="text1"/>
        </w:rPr>
        <w:t xml:space="preserve"> </w:t>
      </w:r>
      <w:r>
        <w:rPr>
          <w:rFonts w:cs="Times New Roman"/>
          <w:color w:val="000000" w:themeColor="text1"/>
        </w:rPr>
        <w:t xml:space="preserve">the 265 confirmed-plan cases involved small business debtors. </w:t>
      </w:r>
      <w:r w:rsidR="009B775B">
        <w:rPr>
          <w:rFonts w:cs="Times New Roman"/>
          <w:color w:val="000000" w:themeColor="text1"/>
        </w:rPr>
        <w:t>Average time to plan confirmation for the subset of small business debtors was 22</w:t>
      </w:r>
      <w:r>
        <w:rPr>
          <w:rFonts w:cs="Times New Roman"/>
          <w:color w:val="000000" w:themeColor="text1"/>
        </w:rPr>
        <w:t>1</w:t>
      </w:r>
      <w:r w:rsidR="009B775B">
        <w:rPr>
          <w:rFonts w:cs="Times New Roman"/>
          <w:color w:val="000000" w:themeColor="text1"/>
        </w:rPr>
        <w:t xml:space="preserve"> days, while more than half obtained confirmation within 1</w:t>
      </w:r>
      <w:r>
        <w:rPr>
          <w:rFonts w:cs="Times New Roman"/>
          <w:color w:val="000000" w:themeColor="text1"/>
        </w:rPr>
        <w:t>57</w:t>
      </w:r>
      <w:r w:rsidR="009B775B">
        <w:rPr>
          <w:rFonts w:cs="Times New Roman"/>
          <w:color w:val="000000" w:themeColor="text1"/>
        </w:rPr>
        <w:t xml:space="preserve"> days </w:t>
      </w:r>
      <w:r>
        <w:rPr>
          <w:rFonts w:cs="Times New Roman"/>
          <w:color w:val="000000" w:themeColor="text1"/>
        </w:rPr>
        <w:t xml:space="preserve">(or a little more than five months) </w:t>
      </w:r>
      <w:r w:rsidR="009B775B">
        <w:rPr>
          <w:rFonts w:cs="Times New Roman"/>
          <w:color w:val="000000" w:themeColor="text1"/>
        </w:rPr>
        <w:t xml:space="preserve">of first plan proposal.   </w:t>
      </w:r>
      <w:r w:rsidR="009B775B">
        <w:rPr>
          <w:rFonts w:cs="Times New Roman"/>
          <w:i/>
          <w:color w:val="000000" w:themeColor="text1"/>
        </w:rPr>
        <w:t xml:space="preserve">See </w:t>
      </w:r>
      <w:r w:rsidR="009B775B">
        <w:rPr>
          <w:rFonts w:cs="Times New Roman"/>
          <w:color w:val="000000" w:themeColor="text1"/>
        </w:rPr>
        <w:t>Table V</w:t>
      </w:r>
      <w:r w:rsidR="002350C9">
        <w:rPr>
          <w:rFonts w:cs="Times New Roman"/>
          <w:color w:val="000000" w:themeColor="text1"/>
        </w:rPr>
        <w:t>II</w:t>
      </w:r>
      <w:r>
        <w:rPr>
          <w:rFonts w:cs="Times New Roman"/>
          <w:color w:val="000000" w:themeColor="text1"/>
        </w:rPr>
        <w:t xml:space="preserve">I, Average and Median Figures in Row (1). </w:t>
      </w:r>
    </w:p>
    <w:p w:rsidR="009B775B" w:rsidRDefault="009B775B" w:rsidP="009B775B">
      <w:pPr>
        <w:rPr>
          <w:rFonts w:cs="Times New Roman"/>
          <w:color w:val="000000" w:themeColor="text1"/>
        </w:rPr>
      </w:pPr>
      <w:r>
        <w:rPr>
          <w:rFonts w:cs="Times New Roman"/>
          <w:color w:val="000000" w:themeColor="text1"/>
        </w:rPr>
        <w:t>To put this data into perspective, in only 7 of the 265 cases with confirmed plans did the debtor obtain confirmation within 45 days of first proposing a plan.</w:t>
      </w:r>
      <w:r>
        <w:rPr>
          <w:rStyle w:val="FootnoteReference"/>
          <w:rFonts w:cs="Times New Roman"/>
          <w:color w:val="000000" w:themeColor="text1"/>
        </w:rPr>
        <w:footnoteReference w:id="66"/>
      </w:r>
      <w:r w:rsidR="00564343">
        <w:rPr>
          <w:rFonts w:cs="Times New Roman"/>
          <w:color w:val="000000" w:themeColor="text1"/>
        </w:rPr>
        <w:t xml:space="preserve">  </w:t>
      </w:r>
      <w:r w:rsidR="00564343">
        <w:rPr>
          <w:rFonts w:cs="Times New Roman"/>
          <w:i/>
          <w:color w:val="000000" w:themeColor="text1"/>
        </w:rPr>
        <w:t xml:space="preserve">See </w:t>
      </w:r>
      <w:r w:rsidR="00564343">
        <w:rPr>
          <w:rFonts w:cs="Times New Roman"/>
          <w:color w:val="000000" w:themeColor="text1"/>
        </w:rPr>
        <w:t>Table VIII. Only 1</w:t>
      </w:r>
      <w:r>
        <w:rPr>
          <w:rFonts w:cs="Times New Roman"/>
          <w:color w:val="000000" w:themeColor="text1"/>
        </w:rPr>
        <w:t xml:space="preserve"> of those 7 cases involved </w:t>
      </w:r>
      <w:r w:rsidR="00564343">
        <w:rPr>
          <w:rFonts w:cs="Times New Roman"/>
          <w:color w:val="000000" w:themeColor="text1"/>
        </w:rPr>
        <w:t xml:space="preserve">a </w:t>
      </w:r>
      <w:r>
        <w:rPr>
          <w:rFonts w:cs="Times New Roman"/>
          <w:color w:val="000000" w:themeColor="text1"/>
        </w:rPr>
        <w:t xml:space="preserve">small business debtor.  Thus, had BAPCPA’s 45-day plan-confirmation deadline existed in 2004, only </w:t>
      </w:r>
      <w:r w:rsidR="00564343">
        <w:rPr>
          <w:rFonts w:cs="Times New Roman"/>
          <w:color w:val="000000" w:themeColor="text1"/>
        </w:rPr>
        <w:t>1</w:t>
      </w:r>
      <w:r>
        <w:rPr>
          <w:rFonts w:cs="Times New Roman"/>
          <w:color w:val="000000" w:themeColor="text1"/>
        </w:rPr>
        <w:t xml:space="preserve"> small business debtor would have satisfied that deadline.  Debtors’ counsel would have had to move for an extension in the other 1</w:t>
      </w:r>
      <w:r w:rsidR="00564343">
        <w:rPr>
          <w:rFonts w:cs="Times New Roman"/>
          <w:color w:val="000000" w:themeColor="text1"/>
        </w:rPr>
        <w:t>12</w:t>
      </w:r>
      <w:r>
        <w:rPr>
          <w:rFonts w:cs="Times New Roman"/>
          <w:color w:val="000000" w:themeColor="text1"/>
        </w:rPr>
        <w:t xml:space="preserve"> small business cases in which a plan was ultimately confirmed. The failure to do so would have mandated dismissal in some jurisdictions, thereby derailing any further attempts to move toward plan confirmation.</w:t>
      </w:r>
      <w:r>
        <w:rPr>
          <w:rStyle w:val="FootnoteReference"/>
          <w:rFonts w:cs="Times New Roman"/>
          <w:color w:val="000000" w:themeColor="text1"/>
        </w:rPr>
        <w:footnoteReference w:id="67"/>
      </w:r>
      <w:r>
        <w:rPr>
          <w:rFonts w:cs="Times New Roman"/>
          <w:color w:val="000000" w:themeColor="text1"/>
        </w:rPr>
        <w:t xml:space="preserve"> </w:t>
      </w:r>
    </w:p>
    <w:p w:rsidR="009B775B" w:rsidRDefault="00BE7098" w:rsidP="009B775B">
      <w:pPr>
        <w:rPr>
          <w:rFonts w:cs="Times New Roman"/>
          <w:color w:val="000000" w:themeColor="text1"/>
        </w:rPr>
      </w:pPr>
      <w:r>
        <w:rPr>
          <w:rFonts w:cs="Times New Roman"/>
          <w:color w:val="000000" w:themeColor="text1"/>
        </w:rPr>
        <w:t>I</w:t>
      </w:r>
      <w:r w:rsidR="009B775B">
        <w:rPr>
          <w:rFonts w:cs="Times New Roman"/>
          <w:color w:val="000000" w:themeColor="text1"/>
        </w:rPr>
        <w:t xml:space="preserve">n conclusion, the Lawton Time study data demonstrates the following: </w:t>
      </w:r>
    </w:p>
    <w:p w:rsidR="009B775B" w:rsidRDefault="009B775B" w:rsidP="009B775B">
      <w:pPr>
        <w:pStyle w:val="ListParagraph"/>
        <w:numPr>
          <w:ilvl w:val="0"/>
          <w:numId w:val="2"/>
        </w:numPr>
        <w:rPr>
          <w:rFonts w:ascii="Garamond" w:hAnsi="Garamond" w:cs="Times New Roman"/>
          <w:color w:val="000000" w:themeColor="text1"/>
        </w:rPr>
      </w:pPr>
      <w:r>
        <w:rPr>
          <w:rFonts w:ascii="Garamond" w:hAnsi="Garamond" w:cs="Times New Roman"/>
          <w:color w:val="000000" w:themeColor="text1"/>
        </w:rPr>
        <w:t xml:space="preserve">Without any plan-proposal or plan-confirmation deadlines, 60% of chapter 11 debtors pre-BAPCPA had reached confirmation, conversion, or dismissal within 345 days of the order for relief.  At least 63% of chapter 11 debtors had done so within a year of the order for relief. </w:t>
      </w:r>
      <w:r>
        <w:rPr>
          <w:rFonts w:ascii="Garamond" w:hAnsi="Garamond" w:cs="Times New Roman"/>
          <w:i/>
          <w:color w:val="000000" w:themeColor="text1"/>
        </w:rPr>
        <w:t xml:space="preserve">See </w:t>
      </w:r>
      <w:r>
        <w:rPr>
          <w:rFonts w:ascii="Garamond" w:hAnsi="Garamond" w:cs="Times New Roman"/>
          <w:color w:val="000000" w:themeColor="text1"/>
        </w:rPr>
        <w:t>Table I, Rows (5) &amp; (6).</w:t>
      </w:r>
    </w:p>
    <w:p w:rsidR="009B775B" w:rsidRDefault="002350C9" w:rsidP="009B775B">
      <w:pPr>
        <w:pStyle w:val="ListParagraph"/>
        <w:numPr>
          <w:ilvl w:val="0"/>
          <w:numId w:val="2"/>
        </w:numPr>
        <w:rPr>
          <w:rFonts w:ascii="Garamond" w:hAnsi="Garamond" w:cs="Times New Roman"/>
          <w:color w:val="000000" w:themeColor="text1"/>
        </w:rPr>
      </w:pPr>
      <w:r>
        <w:rPr>
          <w:rFonts w:ascii="Garamond" w:hAnsi="Garamond" w:cs="Times New Roman"/>
          <w:color w:val="000000" w:themeColor="text1"/>
        </w:rPr>
        <w:t xml:space="preserve">Of the </w:t>
      </w:r>
      <w:r w:rsidR="009B775B">
        <w:rPr>
          <w:rFonts w:ascii="Garamond" w:hAnsi="Garamond" w:cs="Times New Roman"/>
          <w:color w:val="000000" w:themeColor="text1"/>
        </w:rPr>
        <w:t xml:space="preserve">random-sample cases still pending in chapter 11 after 345 days, approximately </w:t>
      </w:r>
      <w:r w:rsidR="00CC249E">
        <w:rPr>
          <w:rFonts w:ascii="Garamond" w:hAnsi="Garamond" w:cs="Times New Roman"/>
          <w:color w:val="000000" w:themeColor="text1"/>
        </w:rPr>
        <w:t>20%</w:t>
      </w:r>
      <w:r w:rsidR="009B775B">
        <w:rPr>
          <w:rFonts w:ascii="Garamond" w:hAnsi="Garamond" w:cs="Times New Roman"/>
          <w:color w:val="000000" w:themeColor="text1"/>
        </w:rPr>
        <w:t xml:space="preserve"> </w:t>
      </w:r>
      <w:r w:rsidR="00CC249E">
        <w:rPr>
          <w:rFonts w:ascii="Garamond" w:hAnsi="Garamond" w:cs="Times New Roman"/>
          <w:color w:val="000000" w:themeColor="text1"/>
        </w:rPr>
        <w:t xml:space="preserve">of </w:t>
      </w:r>
      <w:r w:rsidR="009B775B">
        <w:rPr>
          <w:rFonts w:ascii="Garamond" w:hAnsi="Garamond" w:cs="Times New Roman"/>
          <w:color w:val="000000" w:themeColor="text1"/>
        </w:rPr>
        <w:t xml:space="preserve">the original 799-case sample </w:t>
      </w:r>
      <w:r w:rsidR="00CC249E">
        <w:rPr>
          <w:rFonts w:ascii="Garamond" w:hAnsi="Garamond" w:cs="Times New Roman"/>
          <w:color w:val="000000" w:themeColor="text1"/>
        </w:rPr>
        <w:t>qualified as</w:t>
      </w:r>
      <w:r w:rsidR="009B775B">
        <w:rPr>
          <w:rFonts w:ascii="Garamond" w:hAnsi="Garamond" w:cs="Times New Roman"/>
          <w:color w:val="000000" w:themeColor="text1"/>
        </w:rPr>
        <w:t xml:space="preserve"> small businesses, using the simplified small business definition proposed in</w:t>
      </w:r>
      <w:r w:rsidR="00BB49E1">
        <w:rPr>
          <w:rFonts w:ascii="Garamond" w:hAnsi="Garamond" w:cs="Times New Roman"/>
          <w:color w:val="000000" w:themeColor="text1"/>
        </w:rPr>
        <w:t xml:space="preserve"> Part I</w:t>
      </w:r>
      <w:r w:rsidR="009B775B">
        <w:rPr>
          <w:rFonts w:ascii="Garamond" w:hAnsi="Garamond" w:cs="Times New Roman"/>
          <w:color w:val="000000" w:themeColor="text1"/>
        </w:rPr>
        <w:t xml:space="preserve">. </w:t>
      </w:r>
      <w:r w:rsidR="00BE7098">
        <w:rPr>
          <w:rFonts w:ascii="Garamond" w:hAnsi="Garamond" w:cs="Times New Roman"/>
          <w:i/>
          <w:color w:val="000000" w:themeColor="text1"/>
        </w:rPr>
        <w:t xml:space="preserve">See </w:t>
      </w:r>
      <w:r w:rsidR="00CF43BE">
        <w:rPr>
          <w:rFonts w:ascii="Garamond" w:hAnsi="Garamond" w:cs="Times New Roman"/>
          <w:color w:val="000000" w:themeColor="text1"/>
        </w:rPr>
        <w:t>Table</w:t>
      </w:r>
      <w:r w:rsidR="00BE7098">
        <w:rPr>
          <w:rFonts w:ascii="Garamond" w:hAnsi="Garamond" w:cs="Times New Roman"/>
          <w:color w:val="000000" w:themeColor="text1"/>
        </w:rPr>
        <w:t>s</w:t>
      </w:r>
      <w:r w:rsidR="00CF43BE">
        <w:rPr>
          <w:rFonts w:ascii="Garamond" w:hAnsi="Garamond" w:cs="Times New Roman"/>
          <w:color w:val="000000" w:themeColor="text1"/>
        </w:rPr>
        <w:t xml:space="preserve"> III</w:t>
      </w:r>
      <w:r w:rsidR="00BE7098">
        <w:rPr>
          <w:rFonts w:ascii="Garamond" w:hAnsi="Garamond" w:cs="Times New Roman"/>
          <w:color w:val="000000" w:themeColor="text1"/>
        </w:rPr>
        <w:t xml:space="preserve"> &amp; IV, Column </w:t>
      </w:r>
      <w:r w:rsidR="00BB49E1">
        <w:rPr>
          <w:rFonts w:ascii="Garamond" w:hAnsi="Garamond" w:cs="Times New Roman"/>
          <w:color w:val="000000" w:themeColor="text1"/>
        </w:rPr>
        <w:t>E</w:t>
      </w:r>
      <w:r w:rsidR="00BE7098">
        <w:rPr>
          <w:rFonts w:ascii="Garamond" w:hAnsi="Garamond" w:cs="Times New Roman"/>
          <w:color w:val="000000" w:themeColor="text1"/>
        </w:rPr>
        <w:t xml:space="preserve">, Row (6). </w:t>
      </w:r>
    </w:p>
    <w:p w:rsidR="009B775B" w:rsidRDefault="002350C9" w:rsidP="009B775B">
      <w:pPr>
        <w:pStyle w:val="ListParagraph"/>
        <w:numPr>
          <w:ilvl w:val="0"/>
          <w:numId w:val="2"/>
        </w:numPr>
        <w:rPr>
          <w:rFonts w:ascii="Garamond" w:hAnsi="Garamond" w:cs="Times New Roman"/>
          <w:color w:val="000000" w:themeColor="text1"/>
        </w:rPr>
      </w:pPr>
      <w:r>
        <w:rPr>
          <w:rFonts w:ascii="Garamond" w:hAnsi="Garamond" w:cs="Times New Roman"/>
          <w:color w:val="000000" w:themeColor="text1"/>
        </w:rPr>
        <w:t xml:space="preserve">A plan </w:t>
      </w:r>
      <w:r w:rsidR="009B775B">
        <w:rPr>
          <w:rFonts w:ascii="Garamond" w:hAnsi="Garamond" w:cs="Times New Roman"/>
          <w:color w:val="000000" w:themeColor="text1"/>
        </w:rPr>
        <w:t xml:space="preserve">was proposed in 71% of the small business cases remaining in chapter 11 after 345 days. </w:t>
      </w:r>
      <w:r w:rsidR="009B775B">
        <w:rPr>
          <w:rFonts w:ascii="Garamond" w:hAnsi="Garamond" w:cs="Times New Roman"/>
          <w:i/>
          <w:color w:val="000000" w:themeColor="text1"/>
        </w:rPr>
        <w:t xml:space="preserve">See </w:t>
      </w:r>
      <w:r w:rsidR="009B775B">
        <w:rPr>
          <w:rFonts w:ascii="Garamond" w:hAnsi="Garamond" w:cs="Times New Roman"/>
          <w:color w:val="000000" w:themeColor="text1"/>
        </w:rPr>
        <w:t>Table</w:t>
      </w:r>
      <w:r>
        <w:rPr>
          <w:rFonts w:ascii="Garamond" w:hAnsi="Garamond" w:cs="Times New Roman"/>
          <w:color w:val="000000" w:themeColor="text1"/>
        </w:rPr>
        <w:t>s V &amp; VI</w:t>
      </w:r>
      <w:r w:rsidR="009B775B">
        <w:rPr>
          <w:rFonts w:ascii="Garamond" w:hAnsi="Garamond" w:cs="Times New Roman"/>
          <w:color w:val="000000" w:themeColor="text1"/>
        </w:rPr>
        <w:t xml:space="preserve">, </w:t>
      </w:r>
      <w:r w:rsidR="00CF43BE">
        <w:rPr>
          <w:rFonts w:ascii="Garamond" w:hAnsi="Garamond" w:cs="Times New Roman"/>
          <w:color w:val="000000" w:themeColor="text1"/>
        </w:rPr>
        <w:t xml:space="preserve">Column E, </w:t>
      </w:r>
      <w:r w:rsidR="009B775B">
        <w:rPr>
          <w:rFonts w:ascii="Garamond" w:hAnsi="Garamond" w:cs="Times New Roman"/>
          <w:color w:val="000000" w:themeColor="text1"/>
        </w:rPr>
        <w:t>Row (6).</w:t>
      </w:r>
    </w:p>
    <w:p w:rsidR="009B775B" w:rsidRDefault="00CC249E" w:rsidP="009B775B">
      <w:pPr>
        <w:pStyle w:val="ListParagraph"/>
        <w:numPr>
          <w:ilvl w:val="0"/>
          <w:numId w:val="2"/>
        </w:numPr>
        <w:rPr>
          <w:rFonts w:ascii="Garamond" w:hAnsi="Garamond" w:cs="Times New Roman"/>
          <w:color w:val="000000" w:themeColor="text1"/>
        </w:rPr>
      </w:pPr>
      <w:r>
        <w:rPr>
          <w:rFonts w:ascii="Garamond" w:hAnsi="Garamond" w:cs="Times New Roman"/>
          <w:color w:val="000000" w:themeColor="text1"/>
        </w:rPr>
        <w:t>A plan was confirmed in approximately 4</w:t>
      </w:r>
      <w:r w:rsidR="00490BB0">
        <w:rPr>
          <w:rFonts w:ascii="Garamond" w:hAnsi="Garamond" w:cs="Times New Roman"/>
          <w:color w:val="000000" w:themeColor="text1"/>
        </w:rPr>
        <w:t>3-44</w:t>
      </w:r>
      <w:r>
        <w:rPr>
          <w:rFonts w:ascii="Garamond" w:hAnsi="Garamond" w:cs="Times New Roman"/>
          <w:color w:val="000000" w:themeColor="text1"/>
        </w:rPr>
        <w:t>% o</w:t>
      </w:r>
      <w:r w:rsidR="009B775B">
        <w:rPr>
          <w:rFonts w:ascii="Garamond" w:hAnsi="Garamond" w:cs="Times New Roman"/>
          <w:color w:val="000000" w:themeColor="text1"/>
        </w:rPr>
        <w:t xml:space="preserve">f the small business cases remaining in chapter 11 after 345 days. </w:t>
      </w:r>
      <w:r w:rsidR="009B775B">
        <w:rPr>
          <w:rFonts w:ascii="Garamond" w:hAnsi="Garamond" w:cs="Times New Roman"/>
          <w:i/>
          <w:color w:val="000000" w:themeColor="text1"/>
        </w:rPr>
        <w:t xml:space="preserve">See </w:t>
      </w:r>
      <w:r w:rsidR="009B775B">
        <w:rPr>
          <w:rFonts w:ascii="Garamond" w:hAnsi="Garamond" w:cs="Times New Roman"/>
          <w:color w:val="000000" w:themeColor="text1"/>
        </w:rPr>
        <w:t>Table</w:t>
      </w:r>
      <w:r>
        <w:rPr>
          <w:rFonts w:ascii="Garamond" w:hAnsi="Garamond" w:cs="Times New Roman"/>
          <w:color w:val="000000" w:themeColor="text1"/>
        </w:rPr>
        <w:t xml:space="preserve">s </w:t>
      </w:r>
      <w:r w:rsidR="009B775B">
        <w:rPr>
          <w:rFonts w:ascii="Garamond" w:hAnsi="Garamond" w:cs="Times New Roman"/>
          <w:color w:val="000000" w:themeColor="text1"/>
        </w:rPr>
        <w:t>V</w:t>
      </w:r>
      <w:r>
        <w:rPr>
          <w:rFonts w:ascii="Garamond" w:hAnsi="Garamond" w:cs="Times New Roman"/>
          <w:color w:val="000000" w:themeColor="text1"/>
        </w:rPr>
        <w:t xml:space="preserve"> &amp; VI</w:t>
      </w:r>
      <w:r w:rsidR="009B775B">
        <w:rPr>
          <w:rFonts w:ascii="Garamond" w:hAnsi="Garamond" w:cs="Times New Roman"/>
          <w:color w:val="000000" w:themeColor="text1"/>
        </w:rPr>
        <w:t xml:space="preserve">, Column F, Row (6). </w:t>
      </w:r>
    </w:p>
    <w:p w:rsidR="009B775B" w:rsidRDefault="00CC249E" w:rsidP="009B775B">
      <w:pPr>
        <w:pStyle w:val="ListParagraph"/>
        <w:numPr>
          <w:ilvl w:val="0"/>
          <w:numId w:val="2"/>
        </w:numPr>
        <w:rPr>
          <w:rFonts w:ascii="Garamond" w:hAnsi="Garamond" w:cs="Times New Roman"/>
          <w:color w:val="000000" w:themeColor="text1"/>
        </w:rPr>
      </w:pPr>
      <w:r>
        <w:rPr>
          <w:rFonts w:ascii="Garamond" w:hAnsi="Garamond" w:cs="Times New Roman"/>
          <w:color w:val="000000" w:themeColor="text1"/>
        </w:rPr>
        <w:t xml:space="preserve">Of those small business cases remaining in chapter 11 more than 345 days and </w:t>
      </w:r>
      <w:r w:rsidR="00490BB0">
        <w:rPr>
          <w:rFonts w:ascii="Garamond" w:hAnsi="Garamond" w:cs="Times New Roman"/>
          <w:color w:val="000000" w:themeColor="text1"/>
        </w:rPr>
        <w:t>proposing a plan,</w:t>
      </w:r>
      <w:r>
        <w:rPr>
          <w:rFonts w:ascii="Garamond" w:hAnsi="Garamond" w:cs="Times New Roman"/>
          <w:color w:val="000000" w:themeColor="text1"/>
        </w:rPr>
        <w:t xml:space="preserve"> confirmation occurred in 60% of the cases.</w:t>
      </w:r>
      <w:r w:rsidR="00CF43BE">
        <w:rPr>
          <w:rFonts w:ascii="Garamond" w:hAnsi="Garamond" w:cs="Times New Roman"/>
          <w:color w:val="000000" w:themeColor="text1"/>
        </w:rPr>
        <w:t xml:space="preserve"> (Table VI, Row (6): 64/106 cases.)</w:t>
      </w:r>
    </w:p>
    <w:p w:rsidR="009B775B" w:rsidRDefault="009B775B" w:rsidP="009B775B">
      <w:pPr>
        <w:pStyle w:val="ListParagraph"/>
        <w:numPr>
          <w:ilvl w:val="0"/>
          <w:numId w:val="2"/>
        </w:numPr>
        <w:rPr>
          <w:rFonts w:ascii="Garamond" w:hAnsi="Garamond" w:cs="Times New Roman"/>
          <w:color w:val="000000" w:themeColor="text1"/>
        </w:rPr>
      </w:pPr>
      <w:r w:rsidRPr="00EF6200">
        <w:rPr>
          <w:rFonts w:ascii="Garamond" w:hAnsi="Garamond" w:cs="Times New Roman"/>
          <w:color w:val="000000" w:themeColor="text1"/>
        </w:rPr>
        <w:t xml:space="preserve">Had BAPCPA’s 45-day plan-confirmation deadline existed in 2004, only </w:t>
      </w:r>
      <w:r w:rsidR="00CF43BE">
        <w:rPr>
          <w:rFonts w:ascii="Garamond" w:hAnsi="Garamond" w:cs="Times New Roman"/>
          <w:color w:val="000000" w:themeColor="text1"/>
        </w:rPr>
        <w:t>1</w:t>
      </w:r>
      <w:r w:rsidRPr="00EF6200">
        <w:rPr>
          <w:rFonts w:ascii="Garamond" w:hAnsi="Garamond" w:cs="Times New Roman"/>
          <w:color w:val="000000" w:themeColor="text1"/>
        </w:rPr>
        <w:t xml:space="preserve"> of 1</w:t>
      </w:r>
      <w:r w:rsidR="00CF43BE">
        <w:rPr>
          <w:rFonts w:ascii="Garamond" w:hAnsi="Garamond" w:cs="Times New Roman"/>
          <w:color w:val="000000" w:themeColor="text1"/>
        </w:rPr>
        <w:t>13</w:t>
      </w:r>
      <w:r w:rsidRPr="00EF6200">
        <w:rPr>
          <w:rFonts w:ascii="Garamond" w:hAnsi="Garamond" w:cs="Times New Roman"/>
          <w:color w:val="000000" w:themeColor="text1"/>
        </w:rPr>
        <w:t xml:space="preserve"> small business debtors would have satisfied that deadline. </w:t>
      </w:r>
      <w:r w:rsidRPr="00EF6200">
        <w:rPr>
          <w:rFonts w:ascii="Garamond" w:hAnsi="Garamond" w:cs="Times New Roman"/>
          <w:i/>
          <w:color w:val="000000" w:themeColor="text1"/>
        </w:rPr>
        <w:t xml:space="preserve">See </w:t>
      </w:r>
      <w:r w:rsidRPr="00EF6200">
        <w:rPr>
          <w:rFonts w:ascii="Garamond" w:hAnsi="Garamond" w:cs="Times New Roman"/>
          <w:color w:val="000000" w:themeColor="text1"/>
        </w:rPr>
        <w:t>Table V</w:t>
      </w:r>
      <w:r w:rsidR="00CF43BE">
        <w:rPr>
          <w:rFonts w:ascii="Garamond" w:hAnsi="Garamond" w:cs="Times New Roman"/>
          <w:color w:val="000000" w:themeColor="text1"/>
        </w:rPr>
        <w:t>III</w:t>
      </w:r>
      <w:r w:rsidRPr="00EF6200">
        <w:rPr>
          <w:rFonts w:ascii="Garamond" w:hAnsi="Garamond" w:cs="Times New Roman"/>
          <w:color w:val="000000" w:themeColor="text1"/>
        </w:rPr>
        <w:t>.</w:t>
      </w:r>
      <w:r>
        <w:rPr>
          <w:rFonts w:ascii="Garamond" w:hAnsi="Garamond" w:cs="Times New Roman"/>
          <w:color w:val="000000" w:themeColor="text1"/>
        </w:rPr>
        <w:t xml:space="preserve"> </w:t>
      </w:r>
      <w:r w:rsidRPr="00EF6200">
        <w:rPr>
          <w:rFonts w:ascii="Garamond" w:hAnsi="Garamond" w:cs="Times New Roman"/>
          <w:color w:val="000000" w:themeColor="text1"/>
        </w:rPr>
        <w:t>Absent an extension of the 45-day deadline or some other mitigating doctrine employed by the courts, 1</w:t>
      </w:r>
      <w:r w:rsidR="00CF43BE">
        <w:rPr>
          <w:rFonts w:ascii="Garamond" w:hAnsi="Garamond" w:cs="Times New Roman"/>
          <w:color w:val="000000" w:themeColor="text1"/>
        </w:rPr>
        <w:t>1</w:t>
      </w:r>
      <w:r w:rsidRPr="00EF6200">
        <w:rPr>
          <w:rFonts w:ascii="Garamond" w:hAnsi="Garamond" w:cs="Times New Roman"/>
          <w:color w:val="000000" w:themeColor="text1"/>
        </w:rPr>
        <w:t xml:space="preserve">2 small business cases would not have reached confirmation in 2004. </w:t>
      </w:r>
    </w:p>
    <w:p w:rsidR="009B775B" w:rsidRPr="00EF6200" w:rsidRDefault="009B775B" w:rsidP="009B775B">
      <w:pPr>
        <w:pStyle w:val="ListParagraph"/>
        <w:ind w:left="777"/>
        <w:rPr>
          <w:rFonts w:ascii="Garamond" w:hAnsi="Garamond" w:cs="Times New Roman"/>
          <w:color w:val="000000" w:themeColor="text1"/>
        </w:rPr>
      </w:pPr>
    </w:p>
    <w:p w:rsidR="009B775B" w:rsidRDefault="009B775B" w:rsidP="009B775B">
      <w:pPr>
        <w:rPr>
          <w:rFonts w:cs="Times New Roman"/>
          <w:color w:val="000000" w:themeColor="text1"/>
        </w:rPr>
      </w:pPr>
      <w:r>
        <w:rPr>
          <w:rFonts w:cs="Times New Roman"/>
          <w:color w:val="000000" w:themeColor="text1"/>
        </w:rPr>
        <w:t xml:space="preserve">Of course, it’s always possible to move cases more quickly through the system. </w:t>
      </w:r>
      <w:r w:rsidRPr="00E45C6B">
        <w:rPr>
          <w:rFonts w:cs="Times New Roman"/>
          <w:color w:val="000000" w:themeColor="text1"/>
        </w:rPr>
        <w:t xml:space="preserve">The </w:t>
      </w:r>
      <w:r>
        <w:rPr>
          <w:rFonts w:cs="Times New Roman"/>
          <w:color w:val="000000" w:themeColor="text1"/>
        </w:rPr>
        <w:t>issue is the costs versus the benefits of further speeding up the process. The 2004 data demonstrates that BAPCPA’s deadlines would affect at most 20% of all chapter 11 cases</w:t>
      </w:r>
      <w:r w:rsidR="007A0932">
        <w:rPr>
          <w:rFonts w:cs="Times New Roman"/>
          <w:color w:val="000000" w:themeColor="text1"/>
        </w:rPr>
        <w:t xml:space="preserve">. </w:t>
      </w:r>
      <w:r>
        <w:rPr>
          <w:rFonts w:cs="Times New Roman"/>
          <w:color w:val="000000" w:themeColor="text1"/>
        </w:rPr>
        <w:t xml:space="preserve">Yet, the time deadlines and the increased monitoring necessary to enforce those deadlines affect all small business debtors.  </w:t>
      </w:r>
    </w:p>
    <w:p w:rsidR="009B775B" w:rsidRDefault="009B775B" w:rsidP="009B775B">
      <w:pPr>
        <w:rPr>
          <w:rFonts w:cs="Times New Roman"/>
          <w:color w:val="000000" w:themeColor="text1"/>
        </w:rPr>
      </w:pPr>
      <w:r>
        <w:rPr>
          <w:rFonts w:cs="Times New Roman"/>
          <w:color w:val="000000" w:themeColor="text1"/>
        </w:rPr>
        <w:lastRenderedPageBreak/>
        <w:t>There currently is no post-BAPCPA data on the impact of the small-business deadlines on time to disposition for small business cases.</w:t>
      </w:r>
      <w:r>
        <w:rPr>
          <w:rStyle w:val="FootnoteReference"/>
          <w:rFonts w:cs="Times New Roman"/>
          <w:color w:val="000000" w:themeColor="text1"/>
        </w:rPr>
        <w:footnoteReference w:id="68"/>
      </w:r>
      <w:r>
        <w:rPr>
          <w:rFonts w:cs="Times New Roman"/>
          <w:color w:val="000000" w:themeColor="text1"/>
        </w:rPr>
        <w:t xml:space="preserve">  Given the fact that only 20% of all chapter 11 cases filed in 2004 were (1) small businesses (2) still in chapter 11 (3) without disposition after 345 days, it is possible that an analysis of post-BAPCPA data will find no statistically significant </w:t>
      </w:r>
      <w:r w:rsidR="007A0932">
        <w:rPr>
          <w:rFonts w:cs="Times New Roman"/>
          <w:color w:val="000000" w:themeColor="text1"/>
        </w:rPr>
        <w:t>difference</w:t>
      </w:r>
      <w:r>
        <w:rPr>
          <w:rFonts w:cs="Times New Roman"/>
          <w:color w:val="000000" w:themeColor="text1"/>
        </w:rPr>
        <w:t xml:space="preserve"> in time to disposition pre- and post-BAPCPA.  But, even if a statistically significant decrease in disposition times does exist, the question is at what cost? </w:t>
      </w:r>
      <w:r w:rsidRPr="00E45C6B">
        <w:rPr>
          <w:rFonts w:cs="Times New Roman"/>
          <w:color w:val="000000" w:themeColor="text1"/>
        </w:rPr>
        <w:t xml:space="preserve">As the 2004 data demonstrates, bankruptcy courts confirmed plans in </w:t>
      </w:r>
      <w:r w:rsidR="00490BB0">
        <w:rPr>
          <w:rFonts w:cs="Times New Roman"/>
          <w:color w:val="000000" w:themeColor="text1"/>
        </w:rPr>
        <w:t>64</w:t>
      </w:r>
      <w:r w:rsidRPr="00E45C6B">
        <w:rPr>
          <w:rFonts w:cs="Times New Roman"/>
          <w:color w:val="000000" w:themeColor="text1"/>
        </w:rPr>
        <w:t xml:space="preserve"> cases after the </w:t>
      </w:r>
      <w:r>
        <w:rPr>
          <w:rFonts w:cs="Times New Roman"/>
          <w:color w:val="000000" w:themeColor="text1"/>
        </w:rPr>
        <w:t>345-day mark</w:t>
      </w:r>
      <w:r w:rsidRPr="00E45C6B">
        <w:rPr>
          <w:rFonts w:cs="Times New Roman"/>
          <w:color w:val="000000" w:themeColor="text1"/>
        </w:rPr>
        <w:t>, for a</w:t>
      </w:r>
      <w:r>
        <w:rPr>
          <w:rFonts w:cs="Times New Roman"/>
          <w:color w:val="000000" w:themeColor="text1"/>
        </w:rPr>
        <w:t xml:space="preserve"> confirmation rate among small business debtors of 4</w:t>
      </w:r>
      <w:r w:rsidR="00490BB0">
        <w:rPr>
          <w:rFonts w:cs="Times New Roman"/>
          <w:color w:val="000000" w:themeColor="text1"/>
        </w:rPr>
        <w:t>3</w:t>
      </w:r>
      <w:r>
        <w:rPr>
          <w:rFonts w:cs="Times New Roman"/>
          <w:color w:val="000000" w:themeColor="text1"/>
        </w:rPr>
        <w:t>% during this time frame.</w:t>
      </w:r>
      <w:r w:rsidRPr="00E45C6B">
        <w:rPr>
          <w:rFonts w:cs="Times New Roman"/>
          <w:color w:val="000000" w:themeColor="text1"/>
        </w:rPr>
        <w:t xml:space="preserve">  </w:t>
      </w:r>
      <w:r>
        <w:rPr>
          <w:rFonts w:cs="Times New Roman"/>
          <w:color w:val="000000" w:themeColor="text1"/>
        </w:rPr>
        <w:t>Debtors may move for, and courts may grant, extensions of the 300-day or 45-day deadlines.  But, given the speed with which the vast majority of cases moved through the chapter 11 system pre-BAPCPA, requiring debtors to file such motions and courts to consider them needlessly increases the cost of chapter 11.</w:t>
      </w:r>
    </w:p>
    <w:p w:rsidR="009B775B" w:rsidRDefault="009B775B" w:rsidP="009B775B">
      <w:pPr>
        <w:rPr>
          <w:rFonts w:cs="Times New Roman"/>
          <w:color w:val="000000" w:themeColor="text1"/>
        </w:rPr>
      </w:pPr>
      <w:r>
        <w:rPr>
          <w:rFonts w:cs="Times New Roman"/>
          <w:color w:val="000000" w:themeColor="text1"/>
        </w:rPr>
        <w:t xml:space="preserve">As for the 45-day time-confirmation deadline, it is unworkable. Only </w:t>
      </w:r>
      <w:r w:rsidR="007A0932">
        <w:rPr>
          <w:rFonts w:cs="Times New Roman"/>
          <w:color w:val="000000" w:themeColor="text1"/>
        </w:rPr>
        <w:t>1</w:t>
      </w:r>
      <w:r>
        <w:rPr>
          <w:rFonts w:cs="Times New Roman"/>
          <w:color w:val="000000" w:themeColor="text1"/>
        </w:rPr>
        <w:t xml:space="preserve"> of 1</w:t>
      </w:r>
      <w:r w:rsidR="007A0932">
        <w:rPr>
          <w:rFonts w:cs="Times New Roman"/>
          <w:color w:val="000000" w:themeColor="text1"/>
        </w:rPr>
        <w:t>1</w:t>
      </w:r>
      <w:r>
        <w:rPr>
          <w:rFonts w:cs="Times New Roman"/>
          <w:color w:val="000000" w:themeColor="text1"/>
        </w:rPr>
        <w:t xml:space="preserve">3 small business cases that confirmed a plan did so within that 45-day period. Absent a radical change in debtor behavior, the only thing accomplished by the 45-day deadline is increased cost to the debtor in the form of routine filing of motions to extend the plan-confirmation deadline. </w:t>
      </w:r>
    </w:p>
    <w:p w:rsidR="009B775B" w:rsidRDefault="009B775B" w:rsidP="009B775B">
      <w:pPr>
        <w:rPr>
          <w:rFonts w:cs="Times New Roman"/>
          <w:color w:val="000000" w:themeColor="text1"/>
        </w:rPr>
      </w:pPr>
      <w:r>
        <w:rPr>
          <w:rFonts w:cs="Times New Roman"/>
          <w:color w:val="000000" w:themeColor="text1"/>
        </w:rPr>
        <w:t>In addition, what purpose does the 45-day requirement serve?</w:t>
      </w:r>
      <w:r>
        <w:rPr>
          <w:rStyle w:val="FootnoteReference"/>
          <w:rFonts w:cs="Times New Roman"/>
          <w:color w:val="000000" w:themeColor="text1"/>
        </w:rPr>
        <w:footnoteReference w:id="69"/>
      </w:r>
      <w:r>
        <w:rPr>
          <w:rFonts w:cs="Times New Roman"/>
          <w:color w:val="000000" w:themeColor="text1"/>
        </w:rPr>
        <w:t xml:space="preserve">  If the goal is to set an outside time limit for plan confirmation for small business debtors, then why not simply establish 345 days or one year or 15 months as that outer limit?</w:t>
      </w:r>
      <w:r>
        <w:rPr>
          <w:rStyle w:val="FootnoteReference"/>
          <w:rFonts w:cs="Times New Roman"/>
          <w:color w:val="000000" w:themeColor="text1"/>
        </w:rPr>
        <w:footnoteReference w:id="70"/>
      </w:r>
      <w:r>
        <w:rPr>
          <w:rFonts w:cs="Times New Roman"/>
          <w:color w:val="000000" w:themeColor="text1"/>
        </w:rPr>
        <w:t xml:space="preserve">  But, as noted before, even with the shortest of these time frames – 345 days – only 20% of chapter 11 debtors that are small businesses remain without disposition eleven and a half months after the order for relief.   While the data is not yet in on the 2007 cases, the Commission should consider recommending eliminating both the 300-day plan-proposal and 45-day plan-confirmation deadlines as unnecessary, given the speed with which the vast majority of cases move through the system, and the increased cost and uncertainty associated with the Code’s current time deadlines for small business debtors.</w:t>
      </w:r>
    </w:p>
    <w:p w:rsidR="005B6F4A" w:rsidRDefault="005B6F4A" w:rsidP="005B6F4A">
      <w:pPr>
        <w:jc w:val="center"/>
        <w:rPr>
          <w:rFonts w:cs="Times New Roman"/>
          <w:b/>
          <w:color w:val="000000" w:themeColor="text1"/>
        </w:rPr>
      </w:pPr>
      <w:r>
        <w:rPr>
          <w:rFonts w:cs="Times New Roman"/>
          <w:b/>
          <w:color w:val="000000" w:themeColor="text1"/>
        </w:rPr>
        <w:t>Conclusion</w:t>
      </w:r>
    </w:p>
    <w:p w:rsidR="005B6F4A" w:rsidRDefault="005B6F4A" w:rsidP="005B6F4A">
      <w:pPr>
        <w:rPr>
          <w:rFonts w:cs="Times New Roman"/>
          <w:color w:val="000000" w:themeColor="text1"/>
        </w:rPr>
      </w:pPr>
      <w:r>
        <w:rPr>
          <w:rFonts w:cs="Times New Roman"/>
          <w:color w:val="000000" w:themeColor="text1"/>
        </w:rPr>
        <w:t xml:space="preserve">Small business debtors comprise a significant proportion of chapter 11 cases. Yet, the empirical evidence clearly shows that chapter 11 success rates, at least as measured by plan confirmation, are significantly lower for small business debtors than they are for non-small business debtors.  </w:t>
      </w:r>
    </w:p>
    <w:p w:rsidR="005B6F4A" w:rsidRDefault="005B6F4A" w:rsidP="005B6F4A">
      <w:pPr>
        <w:rPr>
          <w:rFonts w:cs="Times New Roman"/>
          <w:color w:val="000000" w:themeColor="text1"/>
        </w:rPr>
      </w:pPr>
      <w:r>
        <w:rPr>
          <w:rFonts w:cs="Times New Roman"/>
          <w:color w:val="000000" w:themeColor="text1"/>
        </w:rPr>
        <w:t xml:space="preserve">There is very little evidence that explains this success-rate disparity.  Proposing reform measures without data, however, is problematic. Congress did so with BAPCPA, and now the empirical evidence shows that forcing small business debtors into tight plan-proposal and plan-confirmation time frames was simply unnecessary.  As Warren and Westbrook noted in their study of chapter 11 </w:t>
      </w:r>
      <w:r>
        <w:rPr>
          <w:rFonts w:cs="Times New Roman"/>
          <w:color w:val="000000" w:themeColor="text1"/>
        </w:rPr>
        <w:lastRenderedPageBreak/>
        <w:t xml:space="preserve">disposition times, </w:t>
      </w:r>
      <w:r w:rsidR="008267D3">
        <w:rPr>
          <w:rFonts w:cs="Times New Roman"/>
          <w:color w:val="000000" w:themeColor="text1"/>
        </w:rPr>
        <w:t>“</w:t>
      </w:r>
      <w:r>
        <w:rPr>
          <w:rFonts w:cs="Times New Roman"/>
          <w:color w:val="000000" w:themeColor="text1"/>
        </w:rPr>
        <w:t>[t]he result is yet another lesson in what can happen when a solution precedes a clear grasp of the problem.”</w:t>
      </w:r>
      <w:r>
        <w:rPr>
          <w:rStyle w:val="FootnoteReference"/>
          <w:rFonts w:cs="Times New Roman"/>
          <w:color w:val="000000" w:themeColor="text1"/>
        </w:rPr>
        <w:footnoteReference w:id="71"/>
      </w:r>
      <w:r>
        <w:rPr>
          <w:rFonts w:cs="Times New Roman"/>
          <w:color w:val="000000" w:themeColor="text1"/>
        </w:rPr>
        <w:t xml:space="preserve"> </w:t>
      </w:r>
    </w:p>
    <w:p w:rsidR="005B6F4A" w:rsidRDefault="005B6F4A" w:rsidP="005B6F4A">
      <w:pPr>
        <w:rPr>
          <w:rFonts w:cs="Times New Roman"/>
          <w:color w:val="000000" w:themeColor="text1"/>
        </w:rPr>
      </w:pPr>
      <w:r>
        <w:rPr>
          <w:rFonts w:cs="Times New Roman"/>
          <w:color w:val="000000" w:themeColor="text1"/>
        </w:rPr>
        <w:t xml:space="preserve">Thus, prior to amending the Code to “solve” the weak performance of chapter 11 small business debtors, more data is needed.  The cost and complexity of chapter 11 may play a significant role in the failure rate for small business debtors. It is possible, however, that a significant proportion of small business debtors will fail regardless of the system created for their rehabilitation. Therefore, figuring out the causes of small business failure is critical. Without a clear grasp of the reasons for small-business failure in chapter 11, it is impossible to evaluate proposals for reform. </w:t>
      </w:r>
    </w:p>
    <w:p w:rsidR="005B6F4A" w:rsidRPr="00CC3925" w:rsidRDefault="005B6F4A" w:rsidP="005B6F4A">
      <w:pPr>
        <w:rPr>
          <w:rFonts w:cs="Times New Roman"/>
          <w:i/>
          <w:color w:val="000000" w:themeColor="text1"/>
        </w:rPr>
      </w:pPr>
      <w:r>
        <w:rPr>
          <w:rFonts w:cs="Times New Roman"/>
          <w:color w:val="000000" w:themeColor="text1"/>
        </w:rPr>
        <w:t>Thank you for providing me with the opportunity to testify before the Commission and share my work with its members.</w:t>
      </w:r>
    </w:p>
    <w:p w:rsidR="005B6F4A" w:rsidRPr="00C80E35" w:rsidRDefault="005B6F4A" w:rsidP="005B6F4A">
      <w:pPr>
        <w:rPr>
          <w:rFonts w:cs="Times New Roman"/>
          <w:color w:val="000000" w:themeColor="text1"/>
        </w:rPr>
      </w:pPr>
    </w:p>
    <w:p w:rsidR="009832BB" w:rsidRDefault="009832BB" w:rsidP="002612DA">
      <w:pPr>
        <w:spacing w:after="0"/>
      </w:pPr>
    </w:p>
    <w:p w:rsidR="009832BB" w:rsidRPr="002612DA" w:rsidRDefault="009832BB" w:rsidP="002612DA">
      <w:pPr>
        <w:spacing w:after="0"/>
      </w:pPr>
    </w:p>
    <w:sectPr w:rsidR="009832BB" w:rsidRPr="002612D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F72" w:rsidRDefault="006F3F72" w:rsidP="00AE56EB">
      <w:pPr>
        <w:spacing w:after="0" w:line="240" w:lineRule="auto"/>
      </w:pPr>
      <w:r>
        <w:separator/>
      </w:r>
    </w:p>
  </w:endnote>
  <w:endnote w:type="continuationSeparator" w:id="0">
    <w:p w:rsidR="006F3F72" w:rsidRDefault="006F3F72" w:rsidP="00AE5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7261885"/>
      <w:docPartObj>
        <w:docPartGallery w:val="Page Numbers (Bottom of Page)"/>
        <w:docPartUnique/>
      </w:docPartObj>
    </w:sdtPr>
    <w:sdtEndPr>
      <w:rPr>
        <w:noProof/>
      </w:rPr>
    </w:sdtEndPr>
    <w:sdtContent>
      <w:p w:rsidR="00855963" w:rsidRDefault="00855963">
        <w:pPr>
          <w:pStyle w:val="Footer"/>
          <w:jc w:val="center"/>
        </w:pPr>
        <w:r>
          <w:fldChar w:fldCharType="begin"/>
        </w:r>
        <w:r>
          <w:instrText xml:space="preserve"> PAGE   \* MERGEFORMAT </w:instrText>
        </w:r>
        <w:r>
          <w:fldChar w:fldCharType="separate"/>
        </w:r>
        <w:r w:rsidR="00F35716">
          <w:rPr>
            <w:noProof/>
          </w:rPr>
          <w:t>3</w:t>
        </w:r>
        <w:r>
          <w:rPr>
            <w:noProof/>
          </w:rPr>
          <w:fldChar w:fldCharType="end"/>
        </w:r>
      </w:p>
    </w:sdtContent>
  </w:sdt>
  <w:p w:rsidR="00855963" w:rsidRDefault="008559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F72" w:rsidRDefault="006F3F72" w:rsidP="00AE56EB">
      <w:pPr>
        <w:spacing w:after="0" w:line="240" w:lineRule="auto"/>
      </w:pPr>
      <w:r>
        <w:separator/>
      </w:r>
    </w:p>
  </w:footnote>
  <w:footnote w:type="continuationSeparator" w:id="0">
    <w:p w:rsidR="006F3F72" w:rsidRDefault="006F3F72" w:rsidP="00AE56EB">
      <w:pPr>
        <w:spacing w:after="0" w:line="240" w:lineRule="auto"/>
      </w:pPr>
      <w:r>
        <w:continuationSeparator/>
      </w:r>
    </w:p>
  </w:footnote>
  <w:footnote w:id="1">
    <w:p w:rsidR="00855963" w:rsidRPr="00AA241B" w:rsidRDefault="00855963" w:rsidP="00576BC5">
      <w:pPr>
        <w:pStyle w:val="FootnoteText"/>
        <w:rPr>
          <w:sz w:val="22"/>
          <w:szCs w:val="22"/>
        </w:rPr>
      </w:pPr>
      <w:r w:rsidRPr="00AA241B">
        <w:rPr>
          <w:rStyle w:val="FootnoteReference"/>
          <w:sz w:val="22"/>
          <w:szCs w:val="22"/>
        </w:rPr>
        <w:footnoteRef/>
      </w:r>
      <w:r w:rsidRPr="00AA241B">
        <w:rPr>
          <w:sz w:val="22"/>
          <w:szCs w:val="22"/>
        </w:rPr>
        <w:t xml:space="preserve"> </w:t>
      </w:r>
      <w:r w:rsidRPr="00AA241B">
        <w:rPr>
          <w:i/>
          <w:sz w:val="22"/>
          <w:szCs w:val="22"/>
        </w:rPr>
        <w:t xml:space="preserve">See </w:t>
      </w:r>
      <w:r w:rsidRPr="00AA241B">
        <w:rPr>
          <w:smallCaps/>
          <w:sz w:val="22"/>
          <w:szCs w:val="22"/>
        </w:rPr>
        <w:t xml:space="preserve">H. Rep. No. 109-31, </w:t>
      </w:r>
      <w:r w:rsidRPr="00AA241B">
        <w:rPr>
          <w:sz w:val="22"/>
          <w:szCs w:val="22"/>
        </w:rPr>
        <w:t xml:space="preserve">Part 1, at 19 (2005) [hereinafter “BAPCPA Report”] (stating that the “variety of time frames and enforcement mechanisms [were] designed to weed out small business debtors who are not likely to reorganize”); </w:t>
      </w:r>
      <w:r w:rsidRPr="00AA241B">
        <w:rPr>
          <w:smallCaps/>
          <w:sz w:val="22"/>
          <w:szCs w:val="22"/>
        </w:rPr>
        <w:t xml:space="preserve">Nat’l Bankr. Review Comm’n, Small Business Proposals 609 (1997) </w:t>
      </w:r>
      <w:r w:rsidRPr="00AA241B">
        <w:rPr>
          <w:sz w:val="22"/>
          <w:szCs w:val="22"/>
        </w:rPr>
        <w:t>[hereinafter “1997 Commission Report”] (stating that for the large group of debtors with “no reasonable prospect for rehabilitation . . . the primary goal is to reduce the amount of time they consumer in Chapter 11”).</w:t>
      </w:r>
    </w:p>
  </w:footnote>
  <w:footnote w:id="2">
    <w:p w:rsidR="00855963" w:rsidRPr="00AA241B" w:rsidRDefault="00855963" w:rsidP="00576BC5">
      <w:pPr>
        <w:pStyle w:val="FootnoteText"/>
        <w:rPr>
          <w:sz w:val="22"/>
          <w:szCs w:val="22"/>
        </w:rPr>
      </w:pPr>
      <w:r w:rsidRPr="00AA241B">
        <w:rPr>
          <w:rStyle w:val="FootnoteReference"/>
          <w:sz w:val="22"/>
          <w:szCs w:val="22"/>
        </w:rPr>
        <w:footnoteRef/>
      </w:r>
      <w:r w:rsidRPr="00AA241B">
        <w:rPr>
          <w:sz w:val="22"/>
          <w:szCs w:val="22"/>
        </w:rPr>
        <w:t xml:space="preserve"> </w:t>
      </w:r>
      <w:r w:rsidRPr="00AA241B">
        <w:rPr>
          <w:i/>
          <w:sz w:val="22"/>
          <w:szCs w:val="22"/>
        </w:rPr>
        <w:t xml:space="preserve">See </w:t>
      </w:r>
      <w:r w:rsidRPr="00AA241B">
        <w:rPr>
          <w:sz w:val="22"/>
          <w:szCs w:val="22"/>
        </w:rPr>
        <w:t xml:space="preserve">1997 Commission Report, </w:t>
      </w:r>
      <w:r w:rsidRPr="00AA241B">
        <w:rPr>
          <w:i/>
          <w:sz w:val="22"/>
          <w:szCs w:val="22"/>
        </w:rPr>
        <w:t xml:space="preserve">supra </w:t>
      </w:r>
      <w:r w:rsidRPr="00AA241B">
        <w:rPr>
          <w:sz w:val="22"/>
          <w:szCs w:val="22"/>
        </w:rPr>
        <w:t>note 1, at 609-10</w:t>
      </w:r>
      <w:r w:rsidRPr="00AA241B">
        <w:rPr>
          <w:i/>
          <w:sz w:val="22"/>
          <w:szCs w:val="22"/>
        </w:rPr>
        <w:t xml:space="preserve">. </w:t>
      </w:r>
    </w:p>
  </w:footnote>
  <w:footnote w:id="3">
    <w:p w:rsidR="00855963" w:rsidRPr="00AA241B" w:rsidRDefault="00855963" w:rsidP="00576BC5">
      <w:pPr>
        <w:pStyle w:val="FootnoteText"/>
        <w:rPr>
          <w:sz w:val="22"/>
          <w:szCs w:val="22"/>
        </w:rPr>
      </w:pPr>
      <w:r w:rsidRPr="00AA241B">
        <w:rPr>
          <w:rStyle w:val="FootnoteReference"/>
          <w:sz w:val="22"/>
          <w:szCs w:val="22"/>
        </w:rPr>
        <w:footnoteRef/>
      </w:r>
      <w:r w:rsidRPr="00AA241B">
        <w:rPr>
          <w:sz w:val="22"/>
          <w:szCs w:val="22"/>
        </w:rPr>
        <w:t xml:space="preserve"> </w:t>
      </w:r>
      <w:r w:rsidRPr="00AA241B">
        <w:rPr>
          <w:i/>
          <w:sz w:val="22"/>
          <w:szCs w:val="22"/>
        </w:rPr>
        <w:t xml:space="preserve">See, e.g., </w:t>
      </w:r>
      <w:r w:rsidRPr="00AA241B">
        <w:rPr>
          <w:sz w:val="22"/>
          <w:szCs w:val="22"/>
        </w:rPr>
        <w:t xml:space="preserve">BAPCPA Report, </w:t>
      </w:r>
      <w:r w:rsidRPr="00AA241B">
        <w:rPr>
          <w:i/>
          <w:sz w:val="22"/>
          <w:szCs w:val="22"/>
        </w:rPr>
        <w:t xml:space="preserve">supra </w:t>
      </w:r>
      <w:r>
        <w:rPr>
          <w:sz w:val="22"/>
          <w:szCs w:val="22"/>
        </w:rPr>
        <w:t>note 1, at 19</w:t>
      </w:r>
      <w:r w:rsidRPr="00AA241B">
        <w:rPr>
          <w:sz w:val="22"/>
          <w:szCs w:val="22"/>
        </w:rPr>
        <w:t>.</w:t>
      </w:r>
    </w:p>
  </w:footnote>
  <w:footnote w:id="4">
    <w:p w:rsidR="00855963" w:rsidRPr="00AA241B" w:rsidRDefault="00855963" w:rsidP="00576BC5">
      <w:pPr>
        <w:pStyle w:val="FootnoteText"/>
        <w:rPr>
          <w:sz w:val="22"/>
          <w:szCs w:val="22"/>
        </w:rPr>
      </w:pPr>
      <w:r w:rsidRPr="00AA241B">
        <w:rPr>
          <w:rStyle w:val="FootnoteReference"/>
          <w:sz w:val="22"/>
          <w:szCs w:val="22"/>
        </w:rPr>
        <w:footnoteRef/>
      </w:r>
      <w:r w:rsidRPr="00AA241B">
        <w:rPr>
          <w:sz w:val="22"/>
          <w:szCs w:val="22"/>
        </w:rPr>
        <w:t xml:space="preserve"> </w:t>
      </w:r>
      <w:r w:rsidRPr="00AA241B">
        <w:rPr>
          <w:i/>
          <w:sz w:val="22"/>
          <w:szCs w:val="22"/>
        </w:rPr>
        <w:t xml:space="preserve">See </w:t>
      </w:r>
      <w:r w:rsidRPr="00AA241B">
        <w:rPr>
          <w:sz w:val="22"/>
          <w:szCs w:val="22"/>
        </w:rPr>
        <w:t xml:space="preserve">1997 Commission Report, </w:t>
      </w:r>
      <w:r w:rsidRPr="00AA241B">
        <w:rPr>
          <w:i/>
          <w:sz w:val="22"/>
          <w:szCs w:val="22"/>
        </w:rPr>
        <w:t xml:space="preserve">supra </w:t>
      </w:r>
      <w:r w:rsidRPr="00AA241B">
        <w:rPr>
          <w:sz w:val="22"/>
          <w:szCs w:val="22"/>
        </w:rPr>
        <w:t xml:space="preserve">note 1, at 610-11; </w:t>
      </w:r>
      <w:r w:rsidRPr="00AA241B">
        <w:rPr>
          <w:i/>
          <w:sz w:val="22"/>
          <w:szCs w:val="22"/>
        </w:rPr>
        <w:t xml:space="preserve">see also infra </w:t>
      </w:r>
      <w:r w:rsidRPr="00AA241B">
        <w:rPr>
          <w:sz w:val="22"/>
          <w:szCs w:val="22"/>
        </w:rPr>
        <w:t>notes 16-17 and accompanying text.</w:t>
      </w:r>
    </w:p>
  </w:footnote>
  <w:footnote w:id="5">
    <w:p w:rsidR="00855963" w:rsidRPr="00AA241B" w:rsidRDefault="00855963" w:rsidP="00576BC5">
      <w:pPr>
        <w:pStyle w:val="FootnoteText"/>
        <w:rPr>
          <w:i/>
          <w:sz w:val="22"/>
          <w:szCs w:val="22"/>
        </w:rPr>
      </w:pPr>
      <w:r w:rsidRPr="00AA241B">
        <w:rPr>
          <w:rStyle w:val="FootnoteReference"/>
          <w:sz w:val="22"/>
          <w:szCs w:val="22"/>
        </w:rPr>
        <w:footnoteRef/>
      </w:r>
      <w:r w:rsidRPr="00AA241B">
        <w:rPr>
          <w:sz w:val="22"/>
          <w:szCs w:val="22"/>
        </w:rPr>
        <w:t xml:space="preserve"> </w:t>
      </w:r>
      <w:r w:rsidRPr="00AA241B">
        <w:rPr>
          <w:i/>
          <w:sz w:val="22"/>
          <w:szCs w:val="22"/>
        </w:rPr>
        <w:t xml:space="preserve">See </w:t>
      </w:r>
      <w:r w:rsidRPr="00AA241B">
        <w:rPr>
          <w:sz w:val="22"/>
          <w:szCs w:val="22"/>
        </w:rPr>
        <w:t xml:space="preserve">Anne Lawton, </w:t>
      </w:r>
      <w:r w:rsidRPr="00AA241B">
        <w:rPr>
          <w:i/>
          <w:sz w:val="22"/>
          <w:szCs w:val="22"/>
        </w:rPr>
        <w:t xml:space="preserve">Chapter 11 Triage: Diagnosing a Debtor’s Prospects for Success, </w:t>
      </w:r>
      <w:r w:rsidRPr="00AA241B">
        <w:rPr>
          <w:sz w:val="22"/>
          <w:szCs w:val="22"/>
        </w:rPr>
        <w:t xml:space="preserve">54 </w:t>
      </w:r>
      <w:r w:rsidRPr="00AA241B">
        <w:rPr>
          <w:smallCaps/>
          <w:sz w:val="22"/>
          <w:szCs w:val="22"/>
        </w:rPr>
        <w:t>Ariz. L. Rev. 985, 1014 (2012) [</w:t>
      </w:r>
      <w:r w:rsidRPr="00AA241B">
        <w:rPr>
          <w:sz w:val="22"/>
          <w:szCs w:val="22"/>
        </w:rPr>
        <w:t xml:space="preserve">hereinafter “Lawton Triage”]. For this study, I ran the data using only each debtor’s scheduled liabilities. The impact on liability totals for “groups of affiliated debtors” was not analyzed. </w:t>
      </w:r>
    </w:p>
  </w:footnote>
  <w:footnote w:id="6">
    <w:p w:rsidR="00855963" w:rsidRPr="00AA241B" w:rsidRDefault="00855963" w:rsidP="00576BC5">
      <w:pPr>
        <w:pStyle w:val="FootnoteText"/>
        <w:rPr>
          <w:sz w:val="22"/>
          <w:szCs w:val="22"/>
        </w:rPr>
      </w:pPr>
      <w:r w:rsidRPr="00AA241B">
        <w:rPr>
          <w:rStyle w:val="FootnoteReference"/>
          <w:sz w:val="22"/>
          <w:szCs w:val="22"/>
        </w:rPr>
        <w:footnoteRef/>
      </w:r>
      <w:r w:rsidRPr="00AA241B">
        <w:rPr>
          <w:sz w:val="22"/>
          <w:szCs w:val="22"/>
        </w:rPr>
        <w:t xml:space="preserve"> </w:t>
      </w:r>
      <w:r w:rsidRPr="00AA241B">
        <w:rPr>
          <w:i/>
          <w:sz w:val="22"/>
          <w:szCs w:val="22"/>
        </w:rPr>
        <w:t xml:space="preserve">See id. </w:t>
      </w:r>
      <w:r w:rsidRPr="00AA241B">
        <w:rPr>
          <w:sz w:val="22"/>
          <w:szCs w:val="22"/>
        </w:rPr>
        <w:t>at 1008.</w:t>
      </w:r>
    </w:p>
  </w:footnote>
  <w:footnote w:id="7">
    <w:p w:rsidR="00855963" w:rsidRPr="00AA241B" w:rsidRDefault="00855963" w:rsidP="00576BC5">
      <w:pPr>
        <w:pStyle w:val="FootnoteText"/>
        <w:rPr>
          <w:sz w:val="22"/>
          <w:szCs w:val="22"/>
        </w:rPr>
      </w:pPr>
      <w:r w:rsidRPr="00AA241B">
        <w:rPr>
          <w:rStyle w:val="FootnoteReference"/>
          <w:sz w:val="22"/>
          <w:szCs w:val="22"/>
        </w:rPr>
        <w:footnoteRef/>
      </w:r>
      <w:r w:rsidRPr="00AA241B">
        <w:rPr>
          <w:sz w:val="22"/>
          <w:szCs w:val="22"/>
        </w:rPr>
        <w:t xml:space="preserve"> </w:t>
      </w:r>
      <w:r w:rsidRPr="00AA241B">
        <w:rPr>
          <w:i/>
          <w:sz w:val="22"/>
          <w:szCs w:val="22"/>
        </w:rPr>
        <w:t xml:space="preserve">See </w:t>
      </w:r>
      <w:r w:rsidRPr="00AA241B">
        <w:rPr>
          <w:sz w:val="22"/>
          <w:szCs w:val="22"/>
        </w:rPr>
        <w:t xml:space="preserve">Anne Lawton, </w:t>
      </w:r>
      <w:r w:rsidRPr="00AA241B">
        <w:rPr>
          <w:i/>
          <w:sz w:val="22"/>
          <w:szCs w:val="22"/>
        </w:rPr>
        <w:t xml:space="preserve">An Argument for Simplifying the Code’s “Small Business Debtor” Definition, </w:t>
      </w:r>
      <w:r w:rsidRPr="00AA241B">
        <w:rPr>
          <w:sz w:val="22"/>
          <w:szCs w:val="22"/>
        </w:rPr>
        <w:t xml:space="preserve">21 </w:t>
      </w:r>
      <w:r w:rsidRPr="00AA241B">
        <w:rPr>
          <w:smallCaps/>
          <w:sz w:val="22"/>
          <w:szCs w:val="22"/>
        </w:rPr>
        <w:t xml:space="preserve">ABI L. Rev. </w:t>
      </w:r>
      <w:r w:rsidRPr="00AA241B">
        <w:rPr>
          <w:sz w:val="22"/>
          <w:szCs w:val="22"/>
        </w:rPr>
        <w:t xml:space="preserve">55, 92 (2013) [hereinafter “Lawton ABI”]. I use the term “small business” even though the data </w:t>
      </w:r>
      <w:r w:rsidR="003172B0">
        <w:rPr>
          <w:sz w:val="22"/>
          <w:szCs w:val="22"/>
        </w:rPr>
        <w:t xml:space="preserve">used </w:t>
      </w:r>
      <w:r w:rsidR="007F1AC5">
        <w:rPr>
          <w:sz w:val="22"/>
          <w:szCs w:val="22"/>
        </w:rPr>
        <w:t xml:space="preserve">in the Lawton ABI study </w:t>
      </w:r>
      <w:r w:rsidR="003172B0">
        <w:rPr>
          <w:sz w:val="22"/>
          <w:szCs w:val="22"/>
        </w:rPr>
        <w:t>also includes</w:t>
      </w:r>
      <w:r w:rsidRPr="00AA241B">
        <w:rPr>
          <w:sz w:val="22"/>
          <w:szCs w:val="22"/>
        </w:rPr>
        <w:t xml:space="preserve"> consumer chapter 11 cases. </w:t>
      </w:r>
      <w:r w:rsidRPr="00AA241B">
        <w:rPr>
          <w:i/>
          <w:sz w:val="22"/>
          <w:szCs w:val="22"/>
        </w:rPr>
        <w:t xml:space="preserve">See infra </w:t>
      </w:r>
      <w:r>
        <w:rPr>
          <w:sz w:val="22"/>
          <w:szCs w:val="22"/>
        </w:rPr>
        <w:t xml:space="preserve">Part I </w:t>
      </w:r>
      <w:r w:rsidRPr="00AA241B">
        <w:rPr>
          <w:sz w:val="22"/>
          <w:szCs w:val="22"/>
        </w:rPr>
        <w:t xml:space="preserve">for a discussion of the current small business debtor definition and why consumer debtors should be included in the Code’s “small business” coverage. As with the Lawton Triage study, </w:t>
      </w:r>
      <w:r w:rsidRPr="00AA241B">
        <w:rPr>
          <w:i/>
          <w:sz w:val="22"/>
          <w:szCs w:val="22"/>
        </w:rPr>
        <w:t xml:space="preserve">see supra </w:t>
      </w:r>
      <w:r w:rsidRPr="00AA241B">
        <w:rPr>
          <w:sz w:val="22"/>
          <w:szCs w:val="22"/>
        </w:rPr>
        <w:t>note 5, I used only each debtor’s scheduled liabilities in de</w:t>
      </w:r>
      <w:r>
        <w:rPr>
          <w:sz w:val="22"/>
          <w:szCs w:val="22"/>
        </w:rPr>
        <w:t>termining small business status for the Lawton ABI study.</w:t>
      </w:r>
      <w:r w:rsidRPr="00AA241B">
        <w:rPr>
          <w:sz w:val="22"/>
          <w:szCs w:val="22"/>
        </w:rPr>
        <w:t xml:space="preserve"> </w:t>
      </w:r>
    </w:p>
  </w:footnote>
  <w:footnote w:id="8">
    <w:p w:rsidR="00855963" w:rsidRPr="00AA241B" w:rsidRDefault="00855963" w:rsidP="00576BC5">
      <w:pPr>
        <w:pStyle w:val="FootnoteText"/>
        <w:rPr>
          <w:sz w:val="22"/>
          <w:szCs w:val="22"/>
        </w:rPr>
      </w:pPr>
      <w:r w:rsidRPr="00AA241B">
        <w:rPr>
          <w:rStyle w:val="FootnoteReference"/>
          <w:sz w:val="22"/>
          <w:szCs w:val="22"/>
        </w:rPr>
        <w:footnoteRef/>
      </w:r>
      <w:r w:rsidRPr="00AA241B">
        <w:rPr>
          <w:sz w:val="22"/>
          <w:szCs w:val="22"/>
        </w:rPr>
        <w:t xml:space="preserve"> </w:t>
      </w:r>
      <w:r w:rsidRPr="00AA241B">
        <w:rPr>
          <w:i/>
          <w:sz w:val="22"/>
          <w:szCs w:val="22"/>
        </w:rPr>
        <w:t>See id.</w:t>
      </w:r>
      <w:r w:rsidRPr="00AA241B">
        <w:rPr>
          <w:sz w:val="22"/>
          <w:szCs w:val="22"/>
        </w:rPr>
        <w:t xml:space="preserve"> at 93. </w:t>
      </w:r>
    </w:p>
  </w:footnote>
  <w:footnote w:id="9">
    <w:p w:rsidR="00855963" w:rsidRPr="00AA241B" w:rsidRDefault="00855963" w:rsidP="00576BC5">
      <w:pPr>
        <w:pStyle w:val="FootnoteText"/>
        <w:rPr>
          <w:sz w:val="22"/>
          <w:szCs w:val="22"/>
        </w:rPr>
      </w:pPr>
      <w:r w:rsidRPr="00AA241B">
        <w:rPr>
          <w:rStyle w:val="FootnoteReference"/>
          <w:sz w:val="22"/>
          <w:szCs w:val="22"/>
        </w:rPr>
        <w:footnoteRef/>
      </w:r>
      <w:r w:rsidRPr="00AA241B">
        <w:rPr>
          <w:sz w:val="22"/>
          <w:szCs w:val="22"/>
        </w:rPr>
        <w:t xml:space="preserve"> See id. </w:t>
      </w:r>
    </w:p>
  </w:footnote>
  <w:footnote w:id="10">
    <w:p w:rsidR="00855963" w:rsidRPr="00AA241B" w:rsidRDefault="00855963" w:rsidP="00886584">
      <w:pPr>
        <w:pStyle w:val="FootnoteText"/>
        <w:rPr>
          <w:sz w:val="22"/>
          <w:szCs w:val="22"/>
        </w:rPr>
      </w:pPr>
      <w:r w:rsidRPr="00AA241B">
        <w:rPr>
          <w:rStyle w:val="FootnoteReference"/>
          <w:sz w:val="22"/>
          <w:szCs w:val="22"/>
        </w:rPr>
        <w:footnoteRef/>
      </w:r>
      <w:r w:rsidRPr="00AA241B">
        <w:rPr>
          <w:sz w:val="22"/>
          <w:szCs w:val="22"/>
        </w:rPr>
        <w:t xml:space="preserve"> </w:t>
      </w:r>
      <w:r w:rsidRPr="00AA241B">
        <w:rPr>
          <w:i/>
          <w:sz w:val="22"/>
          <w:szCs w:val="22"/>
        </w:rPr>
        <w:t xml:space="preserve">See </w:t>
      </w:r>
      <w:r w:rsidRPr="00AA241B">
        <w:rPr>
          <w:sz w:val="22"/>
          <w:szCs w:val="22"/>
        </w:rPr>
        <w:t>11 U.S.C. §1116(1), (2) &amp; (7).</w:t>
      </w:r>
    </w:p>
  </w:footnote>
  <w:footnote w:id="11">
    <w:p w:rsidR="00855963" w:rsidRPr="00AA241B" w:rsidRDefault="00855963" w:rsidP="00886584">
      <w:pPr>
        <w:pStyle w:val="FootnoteText"/>
        <w:rPr>
          <w:sz w:val="22"/>
          <w:szCs w:val="22"/>
        </w:rPr>
      </w:pPr>
      <w:r w:rsidRPr="00AA241B">
        <w:rPr>
          <w:rStyle w:val="FootnoteReference"/>
          <w:sz w:val="22"/>
          <w:szCs w:val="22"/>
        </w:rPr>
        <w:footnoteRef/>
      </w:r>
      <w:r w:rsidRPr="00AA241B">
        <w:rPr>
          <w:sz w:val="22"/>
          <w:szCs w:val="22"/>
        </w:rPr>
        <w:t xml:space="preserve"> </w:t>
      </w:r>
      <w:r w:rsidRPr="00AA241B">
        <w:rPr>
          <w:i/>
          <w:sz w:val="22"/>
          <w:szCs w:val="22"/>
        </w:rPr>
        <w:t>See</w:t>
      </w:r>
      <w:r w:rsidRPr="00AA241B">
        <w:rPr>
          <w:sz w:val="22"/>
          <w:szCs w:val="22"/>
        </w:rPr>
        <w:t xml:space="preserve"> </w:t>
      </w:r>
      <w:r w:rsidRPr="00AA241B">
        <w:rPr>
          <w:i/>
          <w:sz w:val="22"/>
          <w:szCs w:val="22"/>
        </w:rPr>
        <w:t xml:space="preserve">generally </w:t>
      </w:r>
      <w:r w:rsidRPr="00AA241B">
        <w:rPr>
          <w:sz w:val="22"/>
          <w:szCs w:val="22"/>
        </w:rPr>
        <w:t xml:space="preserve">Lawton ABI, </w:t>
      </w:r>
      <w:r w:rsidRPr="00AA241B">
        <w:rPr>
          <w:i/>
          <w:sz w:val="22"/>
          <w:szCs w:val="22"/>
        </w:rPr>
        <w:t xml:space="preserve">supra </w:t>
      </w:r>
      <w:r w:rsidRPr="00AA241B">
        <w:rPr>
          <w:sz w:val="22"/>
          <w:szCs w:val="22"/>
        </w:rPr>
        <w:t>note 7.</w:t>
      </w:r>
    </w:p>
  </w:footnote>
  <w:footnote w:id="12">
    <w:p w:rsidR="00855963" w:rsidRPr="00AA241B" w:rsidRDefault="00855963" w:rsidP="00886584">
      <w:pPr>
        <w:pStyle w:val="FootnoteText"/>
        <w:rPr>
          <w:sz w:val="22"/>
          <w:szCs w:val="22"/>
        </w:rPr>
      </w:pPr>
      <w:r w:rsidRPr="00AA241B">
        <w:rPr>
          <w:rStyle w:val="FootnoteReference"/>
          <w:sz w:val="22"/>
          <w:szCs w:val="22"/>
        </w:rPr>
        <w:footnoteRef/>
      </w:r>
      <w:r w:rsidRPr="00AA241B">
        <w:rPr>
          <w:sz w:val="22"/>
          <w:szCs w:val="22"/>
        </w:rPr>
        <w:t xml:space="preserve"> For an explanation of the methodology used to create the population of cases and the random sample on which the findings in this report are based, </w:t>
      </w:r>
      <w:r w:rsidRPr="00AA241B">
        <w:rPr>
          <w:i/>
          <w:sz w:val="22"/>
          <w:szCs w:val="22"/>
        </w:rPr>
        <w:t xml:space="preserve">see </w:t>
      </w:r>
      <w:r w:rsidRPr="00AA241B">
        <w:rPr>
          <w:sz w:val="22"/>
          <w:szCs w:val="22"/>
        </w:rPr>
        <w:t xml:space="preserve">Lawton Triage, </w:t>
      </w:r>
      <w:r w:rsidRPr="00AA241B">
        <w:rPr>
          <w:i/>
          <w:sz w:val="22"/>
          <w:szCs w:val="22"/>
        </w:rPr>
        <w:t xml:space="preserve">supra </w:t>
      </w:r>
      <w:r w:rsidRPr="00AA241B">
        <w:rPr>
          <w:sz w:val="22"/>
          <w:szCs w:val="22"/>
        </w:rPr>
        <w:t>note 5, at 995-1004.</w:t>
      </w:r>
    </w:p>
  </w:footnote>
  <w:footnote w:id="13">
    <w:p w:rsidR="00855963" w:rsidRPr="00AA241B" w:rsidRDefault="00855963" w:rsidP="00886584">
      <w:pPr>
        <w:pStyle w:val="FootnoteText"/>
        <w:rPr>
          <w:sz w:val="22"/>
          <w:szCs w:val="22"/>
        </w:rPr>
      </w:pPr>
      <w:r w:rsidRPr="00AA241B">
        <w:rPr>
          <w:rStyle w:val="FootnoteReference"/>
          <w:sz w:val="22"/>
          <w:szCs w:val="22"/>
        </w:rPr>
        <w:footnoteRef/>
      </w:r>
      <w:r w:rsidRPr="00AA241B">
        <w:rPr>
          <w:sz w:val="22"/>
          <w:szCs w:val="22"/>
        </w:rPr>
        <w:t xml:space="preserve"> </w:t>
      </w:r>
      <w:r w:rsidRPr="00AA241B">
        <w:rPr>
          <w:i/>
          <w:sz w:val="22"/>
          <w:szCs w:val="22"/>
        </w:rPr>
        <w:t>See</w:t>
      </w:r>
      <w:r w:rsidRPr="00AA241B">
        <w:rPr>
          <w:sz w:val="22"/>
          <w:szCs w:val="22"/>
        </w:rPr>
        <w:t xml:space="preserve"> Lawton ABI, </w:t>
      </w:r>
      <w:r w:rsidRPr="00AA241B">
        <w:rPr>
          <w:i/>
          <w:sz w:val="22"/>
          <w:szCs w:val="22"/>
        </w:rPr>
        <w:t xml:space="preserve">supra </w:t>
      </w:r>
      <w:r w:rsidRPr="00AA241B">
        <w:rPr>
          <w:sz w:val="22"/>
          <w:szCs w:val="22"/>
        </w:rPr>
        <w:t>note 7, at 93.</w:t>
      </w:r>
    </w:p>
  </w:footnote>
  <w:footnote w:id="14">
    <w:p w:rsidR="00855963" w:rsidRPr="00AA241B" w:rsidRDefault="00855963" w:rsidP="00886584">
      <w:pPr>
        <w:pStyle w:val="FootnoteText"/>
        <w:rPr>
          <w:sz w:val="22"/>
          <w:szCs w:val="22"/>
        </w:rPr>
      </w:pPr>
      <w:r w:rsidRPr="00AA241B">
        <w:rPr>
          <w:rStyle w:val="FootnoteReference"/>
          <w:sz w:val="22"/>
          <w:szCs w:val="22"/>
        </w:rPr>
        <w:footnoteRef/>
      </w:r>
      <w:r w:rsidRPr="00AA241B">
        <w:rPr>
          <w:sz w:val="22"/>
          <w:szCs w:val="22"/>
        </w:rPr>
        <w:t xml:space="preserve"> Two million dollars was the liability cutoff in 2004.</w:t>
      </w:r>
    </w:p>
  </w:footnote>
  <w:footnote w:id="15">
    <w:p w:rsidR="00855963" w:rsidRPr="00AA241B" w:rsidRDefault="00855963" w:rsidP="00886584">
      <w:pPr>
        <w:pStyle w:val="FootnoteText"/>
        <w:rPr>
          <w:i/>
          <w:sz w:val="22"/>
          <w:szCs w:val="22"/>
        </w:rPr>
      </w:pPr>
      <w:r w:rsidRPr="00AA241B">
        <w:rPr>
          <w:rStyle w:val="FootnoteReference"/>
          <w:sz w:val="22"/>
          <w:szCs w:val="22"/>
        </w:rPr>
        <w:footnoteRef/>
      </w:r>
      <w:r w:rsidRPr="00AA241B">
        <w:rPr>
          <w:sz w:val="22"/>
          <w:szCs w:val="22"/>
        </w:rPr>
        <w:t xml:space="preserve"> Liability totals were for </w:t>
      </w:r>
      <w:r w:rsidRPr="00AA241B">
        <w:rPr>
          <w:i/>
          <w:sz w:val="22"/>
          <w:szCs w:val="22"/>
        </w:rPr>
        <w:t xml:space="preserve">each </w:t>
      </w:r>
      <w:r w:rsidRPr="00AA241B">
        <w:rPr>
          <w:sz w:val="22"/>
          <w:szCs w:val="22"/>
        </w:rPr>
        <w:t xml:space="preserve">debtor in the sample, not for groups of affiliated debtors. Had liability totals for groups of affiliated debtors been used, </w:t>
      </w:r>
      <w:r w:rsidRPr="00AA241B">
        <w:rPr>
          <w:i/>
          <w:sz w:val="22"/>
          <w:szCs w:val="22"/>
        </w:rPr>
        <w:t xml:space="preserve">see </w:t>
      </w:r>
      <w:r w:rsidRPr="00AA241B">
        <w:rPr>
          <w:sz w:val="22"/>
          <w:szCs w:val="22"/>
        </w:rPr>
        <w:t xml:space="preserve">§101(51D)(B), the number of small business debtors would be slightly smaller. Liability totals for groups of affiliated debtors were included, however, in the time-to-disposition analysis in Part II, </w:t>
      </w:r>
      <w:r w:rsidRPr="00AA241B">
        <w:rPr>
          <w:i/>
          <w:sz w:val="22"/>
          <w:szCs w:val="22"/>
        </w:rPr>
        <w:t xml:space="preserve">infra. </w:t>
      </w:r>
    </w:p>
  </w:footnote>
  <w:footnote w:id="16">
    <w:p w:rsidR="00855963" w:rsidRPr="00AA241B" w:rsidRDefault="00855963" w:rsidP="00886584">
      <w:pPr>
        <w:pStyle w:val="FootnoteText"/>
        <w:rPr>
          <w:sz w:val="22"/>
          <w:szCs w:val="22"/>
        </w:rPr>
      </w:pPr>
      <w:r w:rsidRPr="00AA241B">
        <w:rPr>
          <w:rStyle w:val="FootnoteReference"/>
          <w:sz w:val="22"/>
          <w:szCs w:val="22"/>
        </w:rPr>
        <w:footnoteRef/>
      </w:r>
      <w:r w:rsidRPr="00AA241B">
        <w:rPr>
          <w:sz w:val="22"/>
          <w:szCs w:val="22"/>
        </w:rPr>
        <w:t xml:space="preserve"> </w:t>
      </w:r>
      <w:r w:rsidRPr="00AA241B">
        <w:rPr>
          <w:i/>
          <w:sz w:val="22"/>
          <w:szCs w:val="22"/>
        </w:rPr>
        <w:t xml:space="preserve">See </w:t>
      </w:r>
      <w:r w:rsidRPr="00AA241B">
        <w:rPr>
          <w:sz w:val="22"/>
          <w:szCs w:val="22"/>
        </w:rPr>
        <w:t xml:space="preserve">Lawton ABI, </w:t>
      </w:r>
      <w:r w:rsidRPr="00AA241B">
        <w:rPr>
          <w:i/>
          <w:sz w:val="22"/>
          <w:szCs w:val="22"/>
        </w:rPr>
        <w:t xml:space="preserve">supra </w:t>
      </w:r>
      <w:r w:rsidRPr="00AA241B">
        <w:rPr>
          <w:sz w:val="22"/>
          <w:szCs w:val="22"/>
        </w:rPr>
        <w:t>note 7, at 93, Chart 1 &amp; Table 2.</w:t>
      </w:r>
    </w:p>
  </w:footnote>
  <w:footnote w:id="17">
    <w:p w:rsidR="00855963" w:rsidRPr="00AA241B" w:rsidRDefault="00855963" w:rsidP="00886584">
      <w:pPr>
        <w:pStyle w:val="FootnoteText"/>
        <w:rPr>
          <w:sz w:val="22"/>
          <w:szCs w:val="22"/>
        </w:rPr>
      </w:pPr>
      <w:r w:rsidRPr="00AA241B">
        <w:rPr>
          <w:rStyle w:val="FootnoteReference"/>
          <w:sz w:val="22"/>
          <w:szCs w:val="22"/>
        </w:rPr>
        <w:footnoteRef/>
      </w:r>
      <w:r w:rsidRPr="00AA241B">
        <w:rPr>
          <w:sz w:val="22"/>
          <w:szCs w:val="22"/>
        </w:rPr>
        <w:t xml:space="preserve"> </w:t>
      </w:r>
      <w:r w:rsidRPr="00AA241B">
        <w:rPr>
          <w:i/>
          <w:sz w:val="22"/>
          <w:szCs w:val="22"/>
        </w:rPr>
        <w:t>See id</w:t>
      </w:r>
      <w:r w:rsidRPr="00AA241B">
        <w:rPr>
          <w:sz w:val="22"/>
          <w:szCs w:val="22"/>
        </w:rPr>
        <w:t xml:space="preserve">. </w:t>
      </w:r>
    </w:p>
  </w:footnote>
  <w:footnote w:id="18">
    <w:p w:rsidR="00855963" w:rsidRPr="00AA241B" w:rsidRDefault="00855963" w:rsidP="00886584">
      <w:pPr>
        <w:pStyle w:val="FootnoteText"/>
        <w:rPr>
          <w:sz w:val="22"/>
          <w:szCs w:val="22"/>
        </w:rPr>
      </w:pPr>
      <w:r w:rsidRPr="00AA241B">
        <w:rPr>
          <w:rStyle w:val="FootnoteReference"/>
          <w:sz w:val="22"/>
          <w:szCs w:val="22"/>
        </w:rPr>
        <w:footnoteRef/>
      </w:r>
      <w:r w:rsidRPr="00AA241B">
        <w:rPr>
          <w:sz w:val="22"/>
          <w:szCs w:val="22"/>
        </w:rPr>
        <w:t xml:space="preserve"> 1997 Commission Report, </w:t>
      </w:r>
      <w:r w:rsidRPr="00AA241B">
        <w:rPr>
          <w:i/>
          <w:sz w:val="22"/>
          <w:szCs w:val="22"/>
        </w:rPr>
        <w:t xml:space="preserve">supra </w:t>
      </w:r>
      <w:r w:rsidRPr="00AA241B">
        <w:rPr>
          <w:sz w:val="22"/>
          <w:szCs w:val="22"/>
        </w:rPr>
        <w:t>note 1, at 628.</w:t>
      </w:r>
    </w:p>
  </w:footnote>
  <w:footnote w:id="19">
    <w:p w:rsidR="00855963" w:rsidRPr="00AA241B" w:rsidRDefault="00855963" w:rsidP="00886584">
      <w:pPr>
        <w:pStyle w:val="FootnoteText"/>
        <w:rPr>
          <w:sz w:val="22"/>
          <w:szCs w:val="22"/>
        </w:rPr>
      </w:pPr>
      <w:r w:rsidRPr="00AA241B">
        <w:rPr>
          <w:rStyle w:val="FootnoteReference"/>
          <w:sz w:val="22"/>
          <w:szCs w:val="22"/>
        </w:rPr>
        <w:footnoteRef/>
      </w:r>
      <w:r w:rsidRPr="00AA241B">
        <w:rPr>
          <w:sz w:val="22"/>
          <w:szCs w:val="22"/>
        </w:rPr>
        <w:t xml:space="preserve"> BAPCPA Report, </w:t>
      </w:r>
      <w:r w:rsidRPr="00AA241B">
        <w:rPr>
          <w:i/>
          <w:sz w:val="22"/>
          <w:szCs w:val="22"/>
        </w:rPr>
        <w:t xml:space="preserve">supra </w:t>
      </w:r>
      <w:r w:rsidRPr="00AA241B">
        <w:rPr>
          <w:sz w:val="22"/>
          <w:szCs w:val="22"/>
        </w:rPr>
        <w:t>note 1, at 19.</w:t>
      </w:r>
    </w:p>
  </w:footnote>
  <w:footnote w:id="20">
    <w:p w:rsidR="00855963" w:rsidRPr="00AA241B" w:rsidRDefault="00855963" w:rsidP="00886584">
      <w:pPr>
        <w:pStyle w:val="FootnoteText"/>
        <w:rPr>
          <w:sz w:val="22"/>
          <w:szCs w:val="22"/>
        </w:rPr>
      </w:pPr>
      <w:r w:rsidRPr="00AA241B">
        <w:rPr>
          <w:rStyle w:val="FootnoteReference"/>
          <w:sz w:val="22"/>
          <w:szCs w:val="22"/>
        </w:rPr>
        <w:footnoteRef/>
      </w:r>
      <w:r w:rsidRPr="00AA241B">
        <w:rPr>
          <w:sz w:val="22"/>
          <w:szCs w:val="22"/>
        </w:rPr>
        <w:t xml:space="preserve"> </w:t>
      </w:r>
      <w:r w:rsidRPr="00AA241B">
        <w:rPr>
          <w:i/>
          <w:sz w:val="22"/>
          <w:szCs w:val="22"/>
        </w:rPr>
        <w:t xml:space="preserve">See </w:t>
      </w:r>
      <w:r w:rsidRPr="00AA241B">
        <w:rPr>
          <w:sz w:val="22"/>
          <w:szCs w:val="22"/>
        </w:rPr>
        <w:t xml:space="preserve">Lawton Triage, </w:t>
      </w:r>
      <w:r w:rsidRPr="00AA241B">
        <w:rPr>
          <w:i/>
          <w:sz w:val="22"/>
          <w:szCs w:val="22"/>
        </w:rPr>
        <w:t xml:space="preserve">supra </w:t>
      </w:r>
      <w:r w:rsidRPr="00AA241B">
        <w:rPr>
          <w:sz w:val="22"/>
          <w:szCs w:val="22"/>
        </w:rPr>
        <w:t xml:space="preserve">note 5, at </w:t>
      </w:r>
      <w:r w:rsidRPr="00AA241B">
        <w:rPr>
          <w:smallCaps/>
          <w:sz w:val="22"/>
          <w:szCs w:val="22"/>
        </w:rPr>
        <w:t>1008</w:t>
      </w:r>
      <w:r w:rsidRPr="00AA241B">
        <w:rPr>
          <w:sz w:val="22"/>
          <w:szCs w:val="22"/>
        </w:rPr>
        <w:t>.</w:t>
      </w:r>
    </w:p>
  </w:footnote>
  <w:footnote w:id="21">
    <w:p w:rsidR="00855963" w:rsidRPr="00AA241B" w:rsidRDefault="00855963" w:rsidP="00886584">
      <w:pPr>
        <w:pStyle w:val="FootnoteText"/>
        <w:rPr>
          <w:sz w:val="22"/>
          <w:szCs w:val="22"/>
        </w:rPr>
      </w:pPr>
      <w:r w:rsidRPr="00AA241B">
        <w:rPr>
          <w:rStyle w:val="FootnoteReference"/>
          <w:sz w:val="22"/>
          <w:szCs w:val="22"/>
        </w:rPr>
        <w:footnoteRef/>
      </w:r>
      <w:r w:rsidRPr="00AA241B">
        <w:rPr>
          <w:sz w:val="22"/>
          <w:szCs w:val="22"/>
        </w:rPr>
        <w:t xml:space="preserve"> </w:t>
      </w:r>
      <w:r w:rsidRPr="00AA241B">
        <w:rPr>
          <w:i/>
          <w:sz w:val="22"/>
          <w:szCs w:val="22"/>
        </w:rPr>
        <w:t>See id.</w:t>
      </w:r>
      <w:r w:rsidRPr="00AA241B">
        <w:rPr>
          <w:sz w:val="22"/>
          <w:szCs w:val="22"/>
        </w:rPr>
        <w:t xml:space="preserve"> </w:t>
      </w:r>
    </w:p>
  </w:footnote>
  <w:footnote w:id="22">
    <w:p w:rsidR="00855963" w:rsidRPr="00AA241B" w:rsidRDefault="00855963" w:rsidP="00886584">
      <w:pPr>
        <w:pStyle w:val="FootnoteText"/>
        <w:rPr>
          <w:sz w:val="22"/>
          <w:szCs w:val="22"/>
        </w:rPr>
      </w:pPr>
      <w:r w:rsidRPr="00AA241B">
        <w:rPr>
          <w:rStyle w:val="FootnoteReference"/>
          <w:sz w:val="22"/>
          <w:szCs w:val="22"/>
        </w:rPr>
        <w:footnoteRef/>
      </w:r>
      <w:r w:rsidRPr="00AA241B">
        <w:rPr>
          <w:sz w:val="22"/>
          <w:szCs w:val="22"/>
        </w:rPr>
        <w:t xml:space="preserve"> </w:t>
      </w:r>
      <w:r w:rsidRPr="00AA241B">
        <w:rPr>
          <w:i/>
          <w:sz w:val="22"/>
          <w:szCs w:val="22"/>
        </w:rPr>
        <w:t>See id.</w:t>
      </w:r>
    </w:p>
  </w:footnote>
  <w:footnote w:id="23">
    <w:p w:rsidR="00855963" w:rsidRPr="00AA241B" w:rsidRDefault="00855963" w:rsidP="00886584">
      <w:pPr>
        <w:pStyle w:val="FootnoteText"/>
        <w:rPr>
          <w:i/>
          <w:sz w:val="22"/>
          <w:szCs w:val="22"/>
        </w:rPr>
      </w:pPr>
      <w:r w:rsidRPr="00AA241B">
        <w:rPr>
          <w:rStyle w:val="FootnoteReference"/>
          <w:sz w:val="22"/>
          <w:szCs w:val="22"/>
        </w:rPr>
        <w:footnoteRef/>
      </w:r>
      <w:r w:rsidRPr="00AA241B">
        <w:rPr>
          <w:sz w:val="22"/>
          <w:szCs w:val="22"/>
        </w:rPr>
        <w:t xml:space="preserve"> </w:t>
      </w:r>
      <w:r w:rsidRPr="00AA241B">
        <w:rPr>
          <w:i/>
          <w:sz w:val="22"/>
          <w:szCs w:val="22"/>
        </w:rPr>
        <w:t xml:space="preserve">See </w:t>
      </w:r>
      <w:r w:rsidRPr="00AA241B">
        <w:rPr>
          <w:sz w:val="22"/>
          <w:szCs w:val="22"/>
        </w:rPr>
        <w:t xml:space="preserve">Lawton ABI, </w:t>
      </w:r>
      <w:r w:rsidRPr="00AA241B">
        <w:rPr>
          <w:i/>
          <w:sz w:val="22"/>
          <w:szCs w:val="22"/>
        </w:rPr>
        <w:t xml:space="preserve">supra </w:t>
      </w:r>
      <w:r w:rsidRPr="00AA241B">
        <w:rPr>
          <w:sz w:val="22"/>
          <w:szCs w:val="22"/>
        </w:rPr>
        <w:t>note 7, at 70.</w:t>
      </w:r>
    </w:p>
  </w:footnote>
  <w:footnote w:id="24">
    <w:p w:rsidR="00855963" w:rsidRPr="00AA241B" w:rsidRDefault="00855963" w:rsidP="00886584">
      <w:pPr>
        <w:pStyle w:val="FootnoteText"/>
        <w:rPr>
          <w:sz w:val="22"/>
          <w:szCs w:val="22"/>
        </w:rPr>
      </w:pPr>
      <w:r w:rsidRPr="00AA241B">
        <w:rPr>
          <w:rStyle w:val="FootnoteReference"/>
          <w:sz w:val="22"/>
          <w:szCs w:val="22"/>
        </w:rPr>
        <w:footnoteRef/>
      </w:r>
      <w:r w:rsidRPr="00AA241B">
        <w:rPr>
          <w:sz w:val="22"/>
          <w:szCs w:val="22"/>
        </w:rPr>
        <w:t xml:space="preserve"> </w:t>
      </w:r>
      <w:r w:rsidRPr="00AA241B">
        <w:rPr>
          <w:i/>
          <w:sz w:val="22"/>
          <w:szCs w:val="22"/>
        </w:rPr>
        <w:t xml:space="preserve">See </w:t>
      </w:r>
      <w:r w:rsidRPr="00AA241B">
        <w:rPr>
          <w:smallCaps/>
          <w:sz w:val="22"/>
          <w:szCs w:val="22"/>
        </w:rPr>
        <w:t>Fed. R. Bankr. P. 1020(</w:t>
      </w:r>
      <w:r w:rsidRPr="00AA241B">
        <w:rPr>
          <w:sz w:val="22"/>
          <w:szCs w:val="22"/>
        </w:rPr>
        <w:t>b) (providing a 30-day period after the conclusion of the §341 hearing for objections by the U.S. trustee or any party in interest to the debtor’s designation as a small or non-small business).</w:t>
      </w:r>
    </w:p>
  </w:footnote>
  <w:footnote w:id="25">
    <w:p w:rsidR="00855963" w:rsidRPr="00AA241B" w:rsidRDefault="00855963" w:rsidP="00886584">
      <w:pPr>
        <w:pStyle w:val="FootnoteText"/>
        <w:rPr>
          <w:sz w:val="22"/>
          <w:szCs w:val="22"/>
        </w:rPr>
      </w:pPr>
      <w:r w:rsidRPr="00AA241B">
        <w:rPr>
          <w:rStyle w:val="FootnoteReference"/>
          <w:sz w:val="22"/>
          <w:szCs w:val="22"/>
        </w:rPr>
        <w:footnoteRef/>
      </w:r>
      <w:r w:rsidRPr="00AA241B">
        <w:rPr>
          <w:sz w:val="22"/>
          <w:szCs w:val="22"/>
        </w:rPr>
        <w:t xml:space="preserve"> </w:t>
      </w:r>
      <w:r w:rsidRPr="00AA241B">
        <w:rPr>
          <w:i/>
          <w:sz w:val="22"/>
          <w:szCs w:val="22"/>
        </w:rPr>
        <w:t xml:space="preserve">See </w:t>
      </w:r>
      <w:r w:rsidRPr="00AA241B">
        <w:rPr>
          <w:sz w:val="22"/>
          <w:szCs w:val="22"/>
        </w:rPr>
        <w:t xml:space="preserve">Lawton Triage, </w:t>
      </w:r>
      <w:r w:rsidRPr="00AA241B">
        <w:rPr>
          <w:i/>
          <w:sz w:val="22"/>
          <w:szCs w:val="22"/>
        </w:rPr>
        <w:t xml:space="preserve">supra </w:t>
      </w:r>
      <w:r w:rsidRPr="00AA241B">
        <w:rPr>
          <w:sz w:val="22"/>
          <w:szCs w:val="22"/>
        </w:rPr>
        <w:t xml:space="preserve">note 5, at 1012, 1014. </w:t>
      </w:r>
    </w:p>
  </w:footnote>
  <w:footnote w:id="26">
    <w:p w:rsidR="00855963" w:rsidRPr="00AA241B" w:rsidRDefault="00855963" w:rsidP="00886584">
      <w:pPr>
        <w:pStyle w:val="FootnoteText"/>
        <w:rPr>
          <w:sz w:val="22"/>
          <w:szCs w:val="22"/>
        </w:rPr>
      </w:pPr>
      <w:r w:rsidRPr="00AA241B">
        <w:rPr>
          <w:rStyle w:val="FootnoteReference"/>
          <w:sz w:val="22"/>
          <w:szCs w:val="22"/>
        </w:rPr>
        <w:footnoteRef/>
      </w:r>
      <w:r w:rsidRPr="00AA241B">
        <w:rPr>
          <w:sz w:val="22"/>
          <w:szCs w:val="22"/>
        </w:rPr>
        <w:t xml:space="preserve"> </w:t>
      </w:r>
      <w:r w:rsidRPr="00AA241B">
        <w:rPr>
          <w:i/>
          <w:sz w:val="22"/>
          <w:szCs w:val="22"/>
        </w:rPr>
        <w:t xml:space="preserve">See </w:t>
      </w:r>
      <w:r w:rsidRPr="00AA241B">
        <w:rPr>
          <w:sz w:val="22"/>
          <w:szCs w:val="22"/>
        </w:rPr>
        <w:t xml:space="preserve">Lawton ABI, </w:t>
      </w:r>
      <w:r w:rsidRPr="00AA241B">
        <w:rPr>
          <w:i/>
          <w:sz w:val="22"/>
          <w:szCs w:val="22"/>
        </w:rPr>
        <w:t xml:space="preserve">supra </w:t>
      </w:r>
      <w:r w:rsidRPr="00AA241B">
        <w:rPr>
          <w:sz w:val="22"/>
          <w:szCs w:val="22"/>
        </w:rPr>
        <w:t xml:space="preserve">note 7, at 88 n. 164. </w:t>
      </w:r>
    </w:p>
  </w:footnote>
  <w:footnote w:id="27">
    <w:p w:rsidR="00855963" w:rsidRPr="00AA241B" w:rsidRDefault="00855963" w:rsidP="00886584">
      <w:pPr>
        <w:pStyle w:val="FootnoteText"/>
        <w:rPr>
          <w:sz w:val="22"/>
          <w:szCs w:val="22"/>
        </w:rPr>
      </w:pPr>
      <w:r w:rsidRPr="00AA241B">
        <w:rPr>
          <w:rStyle w:val="FootnoteReference"/>
          <w:sz w:val="22"/>
          <w:szCs w:val="22"/>
        </w:rPr>
        <w:footnoteRef/>
      </w:r>
      <w:r w:rsidRPr="00AA241B">
        <w:rPr>
          <w:sz w:val="22"/>
          <w:szCs w:val="22"/>
        </w:rPr>
        <w:t xml:space="preserve"> </w:t>
      </w:r>
      <w:r w:rsidRPr="00AA241B">
        <w:rPr>
          <w:i/>
          <w:sz w:val="22"/>
          <w:szCs w:val="22"/>
        </w:rPr>
        <w:t xml:space="preserve">See id. </w:t>
      </w:r>
      <w:r w:rsidRPr="00AA241B">
        <w:rPr>
          <w:sz w:val="22"/>
          <w:szCs w:val="22"/>
        </w:rPr>
        <w:t xml:space="preserve"> at 85 n.146</w:t>
      </w:r>
    </w:p>
  </w:footnote>
  <w:footnote w:id="28">
    <w:p w:rsidR="00855963" w:rsidRPr="00AA241B" w:rsidRDefault="00855963" w:rsidP="00886584">
      <w:pPr>
        <w:pStyle w:val="FootnoteText"/>
        <w:rPr>
          <w:sz w:val="22"/>
          <w:szCs w:val="22"/>
        </w:rPr>
      </w:pPr>
      <w:r w:rsidRPr="00AA241B">
        <w:rPr>
          <w:rStyle w:val="FootnoteReference"/>
          <w:sz w:val="22"/>
          <w:szCs w:val="22"/>
        </w:rPr>
        <w:footnoteRef/>
      </w:r>
      <w:r w:rsidRPr="00AA241B">
        <w:rPr>
          <w:sz w:val="22"/>
          <w:szCs w:val="22"/>
        </w:rPr>
        <w:t xml:space="preserve"> </w:t>
      </w:r>
      <w:r w:rsidRPr="00AA241B">
        <w:rPr>
          <w:i/>
          <w:sz w:val="22"/>
          <w:szCs w:val="22"/>
        </w:rPr>
        <w:t xml:space="preserve">See id. </w:t>
      </w:r>
      <w:r w:rsidRPr="00AA241B">
        <w:rPr>
          <w:sz w:val="22"/>
          <w:szCs w:val="22"/>
        </w:rPr>
        <w:t>at 95 n. 189.</w:t>
      </w:r>
    </w:p>
  </w:footnote>
  <w:footnote w:id="29">
    <w:p w:rsidR="00855963" w:rsidRPr="00AA241B" w:rsidRDefault="00855963" w:rsidP="00886584">
      <w:pPr>
        <w:pStyle w:val="FootnoteText"/>
        <w:rPr>
          <w:sz w:val="22"/>
          <w:szCs w:val="22"/>
        </w:rPr>
      </w:pPr>
      <w:r w:rsidRPr="00AA241B">
        <w:rPr>
          <w:rStyle w:val="FootnoteReference"/>
          <w:sz w:val="22"/>
          <w:szCs w:val="22"/>
        </w:rPr>
        <w:footnoteRef/>
      </w:r>
      <w:r w:rsidRPr="00AA241B">
        <w:rPr>
          <w:sz w:val="22"/>
          <w:szCs w:val="22"/>
        </w:rPr>
        <w:t xml:space="preserve"> </w:t>
      </w:r>
      <w:r w:rsidRPr="00AA241B">
        <w:rPr>
          <w:i/>
          <w:sz w:val="22"/>
          <w:szCs w:val="22"/>
        </w:rPr>
        <w:t>See id.</w:t>
      </w:r>
      <w:r w:rsidRPr="00AA241B">
        <w:rPr>
          <w:sz w:val="22"/>
          <w:szCs w:val="22"/>
        </w:rPr>
        <w:t xml:space="preserve"> at 73.</w:t>
      </w:r>
    </w:p>
  </w:footnote>
  <w:footnote w:id="30">
    <w:p w:rsidR="00855963" w:rsidRPr="00AA241B" w:rsidRDefault="00855963" w:rsidP="00886584">
      <w:pPr>
        <w:pStyle w:val="FootnoteText"/>
        <w:rPr>
          <w:sz w:val="22"/>
          <w:szCs w:val="22"/>
        </w:rPr>
      </w:pPr>
      <w:r w:rsidRPr="00AA241B">
        <w:rPr>
          <w:rStyle w:val="FootnoteReference"/>
          <w:sz w:val="22"/>
          <w:szCs w:val="22"/>
        </w:rPr>
        <w:footnoteRef/>
      </w:r>
      <w:r w:rsidRPr="00AA241B">
        <w:rPr>
          <w:sz w:val="22"/>
          <w:szCs w:val="22"/>
        </w:rPr>
        <w:t xml:space="preserve"> </w:t>
      </w:r>
      <w:r w:rsidRPr="00AA241B">
        <w:rPr>
          <w:i/>
          <w:sz w:val="22"/>
          <w:szCs w:val="22"/>
        </w:rPr>
        <w:t xml:space="preserve">See </w:t>
      </w:r>
      <w:r w:rsidRPr="00AA241B">
        <w:rPr>
          <w:sz w:val="22"/>
          <w:szCs w:val="22"/>
        </w:rPr>
        <w:t xml:space="preserve">1997 Commission Report, </w:t>
      </w:r>
      <w:r w:rsidRPr="00AA241B">
        <w:rPr>
          <w:i/>
          <w:sz w:val="22"/>
          <w:szCs w:val="22"/>
        </w:rPr>
        <w:t xml:space="preserve">supra </w:t>
      </w:r>
      <w:r w:rsidRPr="00AA241B">
        <w:rPr>
          <w:sz w:val="22"/>
          <w:szCs w:val="22"/>
        </w:rPr>
        <w:t>note 1, at 618.</w:t>
      </w:r>
    </w:p>
  </w:footnote>
  <w:footnote w:id="31">
    <w:p w:rsidR="00855963" w:rsidRPr="00AA241B" w:rsidRDefault="00855963" w:rsidP="00886584">
      <w:pPr>
        <w:pStyle w:val="FootnoteText"/>
        <w:rPr>
          <w:sz w:val="22"/>
          <w:szCs w:val="22"/>
        </w:rPr>
      </w:pPr>
      <w:r w:rsidRPr="00AA241B">
        <w:rPr>
          <w:rStyle w:val="FootnoteReference"/>
          <w:sz w:val="22"/>
          <w:szCs w:val="22"/>
        </w:rPr>
        <w:footnoteRef/>
      </w:r>
      <w:r w:rsidRPr="00AA241B">
        <w:rPr>
          <w:sz w:val="22"/>
          <w:szCs w:val="22"/>
        </w:rPr>
        <w:t xml:space="preserve"> It appears that the “primary activity” exclusion may have been carried over from proposals to create a separate chapter 10 for small business debtors. For a more detailed explanation of the history of the exclusion, </w:t>
      </w:r>
      <w:r w:rsidRPr="00AA241B">
        <w:rPr>
          <w:i/>
          <w:sz w:val="22"/>
          <w:szCs w:val="22"/>
        </w:rPr>
        <w:t xml:space="preserve">see </w:t>
      </w:r>
      <w:r w:rsidRPr="00AA241B">
        <w:rPr>
          <w:sz w:val="22"/>
          <w:szCs w:val="22"/>
        </w:rPr>
        <w:t xml:space="preserve">Lawton ABI, </w:t>
      </w:r>
      <w:r w:rsidRPr="00AA241B">
        <w:rPr>
          <w:i/>
          <w:sz w:val="22"/>
          <w:szCs w:val="22"/>
        </w:rPr>
        <w:t xml:space="preserve">supra </w:t>
      </w:r>
      <w:r w:rsidRPr="00AA241B">
        <w:rPr>
          <w:sz w:val="22"/>
          <w:szCs w:val="22"/>
        </w:rPr>
        <w:t xml:space="preserve">note 7, at 74-75. </w:t>
      </w:r>
    </w:p>
  </w:footnote>
  <w:footnote w:id="32">
    <w:p w:rsidR="00855963" w:rsidRPr="00AA241B" w:rsidRDefault="00855963" w:rsidP="00576BC5">
      <w:pPr>
        <w:pStyle w:val="FootnoteText"/>
        <w:rPr>
          <w:sz w:val="22"/>
          <w:szCs w:val="22"/>
        </w:rPr>
      </w:pPr>
      <w:r w:rsidRPr="00AA241B">
        <w:rPr>
          <w:rStyle w:val="FootnoteReference"/>
          <w:sz w:val="22"/>
          <w:szCs w:val="22"/>
        </w:rPr>
        <w:footnoteRef/>
      </w:r>
      <w:r w:rsidRPr="00AA241B">
        <w:rPr>
          <w:sz w:val="22"/>
          <w:szCs w:val="22"/>
        </w:rPr>
        <w:t xml:space="preserve"> </w:t>
      </w:r>
      <w:r w:rsidRPr="00AA241B">
        <w:rPr>
          <w:i/>
          <w:sz w:val="22"/>
          <w:szCs w:val="22"/>
        </w:rPr>
        <w:t xml:space="preserve">Compare </w:t>
      </w:r>
      <w:r w:rsidRPr="00AA241B">
        <w:rPr>
          <w:sz w:val="22"/>
          <w:szCs w:val="22"/>
        </w:rPr>
        <w:t xml:space="preserve">11 U.S.C. §1121(b) (120 days) </w:t>
      </w:r>
      <w:r w:rsidRPr="00AA241B">
        <w:rPr>
          <w:i/>
          <w:sz w:val="22"/>
          <w:szCs w:val="22"/>
        </w:rPr>
        <w:t xml:space="preserve">with </w:t>
      </w:r>
      <w:r w:rsidRPr="00AA241B">
        <w:rPr>
          <w:sz w:val="22"/>
          <w:szCs w:val="22"/>
        </w:rPr>
        <w:t>11 U.S.C. §1121(e)(1) (180 days).</w:t>
      </w:r>
    </w:p>
  </w:footnote>
  <w:footnote w:id="33">
    <w:p w:rsidR="00855963" w:rsidRPr="00AA241B" w:rsidRDefault="00855963" w:rsidP="00576BC5">
      <w:pPr>
        <w:pStyle w:val="FootnoteText"/>
        <w:rPr>
          <w:sz w:val="22"/>
          <w:szCs w:val="22"/>
        </w:rPr>
      </w:pPr>
      <w:r w:rsidRPr="00AA241B">
        <w:rPr>
          <w:rStyle w:val="FootnoteReference"/>
          <w:sz w:val="22"/>
          <w:szCs w:val="22"/>
        </w:rPr>
        <w:footnoteRef/>
      </w:r>
      <w:r w:rsidRPr="00AA241B">
        <w:rPr>
          <w:sz w:val="22"/>
          <w:szCs w:val="22"/>
        </w:rPr>
        <w:t xml:space="preserve"> 11 U.S.C. §1121(e)(2).</w:t>
      </w:r>
    </w:p>
  </w:footnote>
  <w:footnote w:id="34">
    <w:p w:rsidR="00855963" w:rsidRPr="00AA241B" w:rsidRDefault="00855963" w:rsidP="00576BC5">
      <w:pPr>
        <w:pStyle w:val="FootnoteText"/>
        <w:rPr>
          <w:sz w:val="22"/>
          <w:szCs w:val="22"/>
        </w:rPr>
      </w:pPr>
      <w:r w:rsidRPr="00AA241B">
        <w:rPr>
          <w:rStyle w:val="FootnoteReference"/>
          <w:sz w:val="22"/>
          <w:szCs w:val="22"/>
        </w:rPr>
        <w:footnoteRef/>
      </w:r>
      <w:r w:rsidRPr="00AA241B">
        <w:rPr>
          <w:sz w:val="22"/>
          <w:szCs w:val="22"/>
        </w:rPr>
        <w:t xml:space="preserve"> 11 U.S.C. §1129(e).</w:t>
      </w:r>
    </w:p>
  </w:footnote>
  <w:footnote w:id="35">
    <w:p w:rsidR="00855963" w:rsidRPr="00AA241B" w:rsidRDefault="00855963" w:rsidP="00576BC5">
      <w:pPr>
        <w:pStyle w:val="FootnoteText"/>
        <w:rPr>
          <w:sz w:val="22"/>
          <w:szCs w:val="22"/>
        </w:rPr>
      </w:pPr>
      <w:r w:rsidRPr="00AA241B">
        <w:rPr>
          <w:rStyle w:val="FootnoteReference"/>
          <w:sz w:val="22"/>
          <w:szCs w:val="22"/>
        </w:rPr>
        <w:footnoteRef/>
      </w:r>
      <w:r w:rsidRPr="00AA241B">
        <w:rPr>
          <w:sz w:val="22"/>
          <w:szCs w:val="22"/>
        </w:rPr>
        <w:t xml:space="preserve"> 11 U.S.C. §1121(e)(3)(C).</w:t>
      </w:r>
    </w:p>
  </w:footnote>
  <w:footnote w:id="36">
    <w:p w:rsidR="00855963" w:rsidRPr="00AA241B" w:rsidRDefault="00855963" w:rsidP="00576BC5">
      <w:pPr>
        <w:pStyle w:val="FootnoteText"/>
        <w:rPr>
          <w:sz w:val="22"/>
          <w:szCs w:val="22"/>
        </w:rPr>
      </w:pPr>
      <w:r w:rsidRPr="00AA241B">
        <w:rPr>
          <w:rStyle w:val="FootnoteReference"/>
          <w:sz w:val="22"/>
          <w:szCs w:val="22"/>
        </w:rPr>
        <w:footnoteRef/>
      </w:r>
      <w:r w:rsidRPr="00AA241B">
        <w:rPr>
          <w:sz w:val="22"/>
          <w:szCs w:val="22"/>
        </w:rPr>
        <w:t xml:space="preserve"> 11 U.S.C. §1121(e)(3)(A).</w:t>
      </w:r>
    </w:p>
  </w:footnote>
  <w:footnote w:id="37">
    <w:p w:rsidR="00855963" w:rsidRPr="00AA241B" w:rsidRDefault="00855963" w:rsidP="00576BC5">
      <w:pPr>
        <w:pStyle w:val="FootnoteText"/>
        <w:rPr>
          <w:sz w:val="22"/>
          <w:szCs w:val="22"/>
        </w:rPr>
      </w:pPr>
      <w:r w:rsidRPr="00AA241B">
        <w:rPr>
          <w:rStyle w:val="FootnoteReference"/>
          <w:sz w:val="22"/>
          <w:szCs w:val="22"/>
        </w:rPr>
        <w:footnoteRef/>
      </w:r>
      <w:r w:rsidRPr="00AA241B">
        <w:rPr>
          <w:sz w:val="22"/>
          <w:szCs w:val="22"/>
        </w:rPr>
        <w:t xml:space="preserve"> </w:t>
      </w:r>
      <w:r w:rsidRPr="00AA241B">
        <w:rPr>
          <w:i/>
          <w:sz w:val="22"/>
          <w:szCs w:val="22"/>
        </w:rPr>
        <w:t xml:space="preserve">In re Save Our Springs Alliance, Inc., </w:t>
      </w:r>
      <w:r w:rsidRPr="00AA241B">
        <w:rPr>
          <w:sz w:val="22"/>
          <w:szCs w:val="22"/>
        </w:rPr>
        <w:t>388 B.R. 202, 226 (Bankr. W.D. Tex. 2008).</w:t>
      </w:r>
    </w:p>
  </w:footnote>
  <w:footnote w:id="38">
    <w:p w:rsidR="00855963" w:rsidRPr="00AA241B" w:rsidRDefault="00855963" w:rsidP="00576BC5">
      <w:pPr>
        <w:pStyle w:val="FootnoteText"/>
        <w:rPr>
          <w:sz w:val="22"/>
          <w:szCs w:val="22"/>
        </w:rPr>
      </w:pPr>
      <w:r w:rsidRPr="00AA241B">
        <w:rPr>
          <w:rStyle w:val="FootnoteReference"/>
          <w:sz w:val="22"/>
          <w:szCs w:val="22"/>
        </w:rPr>
        <w:footnoteRef/>
      </w:r>
      <w:r w:rsidRPr="00AA241B">
        <w:rPr>
          <w:sz w:val="22"/>
          <w:szCs w:val="22"/>
        </w:rPr>
        <w:t xml:space="preserve"> </w:t>
      </w:r>
      <w:r w:rsidRPr="00AA241B">
        <w:rPr>
          <w:i/>
          <w:sz w:val="22"/>
          <w:szCs w:val="22"/>
        </w:rPr>
        <w:t xml:space="preserve">See </w:t>
      </w:r>
      <w:r w:rsidRPr="00AA241B">
        <w:rPr>
          <w:sz w:val="22"/>
          <w:szCs w:val="22"/>
        </w:rPr>
        <w:t xml:space="preserve">11 U.S.C. §1125(f)(3)(C). </w:t>
      </w:r>
    </w:p>
  </w:footnote>
  <w:footnote w:id="39">
    <w:p w:rsidR="00855963" w:rsidRPr="00AA241B" w:rsidRDefault="00855963" w:rsidP="00576BC5">
      <w:pPr>
        <w:pStyle w:val="FootnoteText"/>
        <w:rPr>
          <w:sz w:val="22"/>
          <w:szCs w:val="22"/>
        </w:rPr>
      </w:pPr>
      <w:r w:rsidRPr="00AA241B">
        <w:rPr>
          <w:rStyle w:val="FootnoteReference"/>
          <w:sz w:val="22"/>
          <w:szCs w:val="22"/>
        </w:rPr>
        <w:footnoteRef/>
      </w:r>
      <w:r w:rsidRPr="00AA241B">
        <w:rPr>
          <w:sz w:val="22"/>
          <w:szCs w:val="22"/>
        </w:rPr>
        <w:t xml:space="preserve"> Transcript, ABI Annual Spring Meeting Field Hearing, April 19, 2013, at 20 [hereinafter ABI Meeting] (testimony of the Honorable Dennis Dow);</w:t>
      </w:r>
      <w:r w:rsidRPr="00AA241B">
        <w:rPr>
          <w:i/>
          <w:sz w:val="22"/>
          <w:szCs w:val="22"/>
        </w:rPr>
        <w:t xml:space="preserve"> see </w:t>
      </w:r>
      <w:r w:rsidRPr="00AA241B">
        <w:rPr>
          <w:smallCaps/>
          <w:sz w:val="22"/>
          <w:szCs w:val="22"/>
        </w:rPr>
        <w:t>Fed. R. Bankr. P. 2002(</w:t>
      </w:r>
      <w:r w:rsidRPr="00AA241B">
        <w:rPr>
          <w:sz w:val="22"/>
          <w:szCs w:val="22"/>
        </w:rPr>
        <w:t xml:space="preserve">b); </w:t>
      </w:r>
      <w:r w:rsidRPr="00AA241B">
        <w:rPr>
          <w:i/>
          <w:sz w:val="22"/>
          <w:szCs w:val="22"/>
        </w:rPr>
        <w:t xml:space="preserve">see also </w:t>
      </w:r>
      <w:r w:rsidRPr="00AA241B">
        <w:rPr>
          <w:sz w:val="22"/>
          <w:szCs w:val="22"/>
        </w:rPr>
        <w:t xml:space="preserve">Hon. James B. Haines, Jr. and Philip J. Hendel, </w:t>
      </w:r>
      <w:r w:rsidRPr="00AA241B">
        <w:rPr>
          <w:i/>
          <w:sz w:val="22"/>
          <w:szCs w:val="22"/>
        </w:rPr>
        <w:t xml:space="preserve">No Easy Answers: Small Business Bankruptcies after BAPCPA, </w:t>
      </w:r>
      <w:r w:rsidRPr="00AA241B">
        <w:rPr>
          <w:sz w:val="22"/>
          <w:szCs w:val="22"/>
        </w:rPr>
        <w:t xml:space="preserve">47 </w:t>
      </w:r>
      <w:r w:rsidRPr="00AA241B">
        <w:rPr>
          <w:smallCaps/>
          <w:sz w:val="22"/>
          <w:szCs w:val="22"/>
        </w:rPr>
        <w:t>B.C. L. Rev. 71, 80 (2005) (</w:t>
      </w:r>
      <w:r w:rsidRPr="00AA241B">
        <w:rPr>
          <w:sz w:val="22"/>
          <w:szCs w:val="22"/>
        </w:rPr>
        <w:t xml:space="preserve">footnote omitted) </w:t>
      </w:r>
      <w:r w:rsidRPr="00AA241B">
        <w:rPr>
          <w:smallCaps/>
          <w:sz w:val="22"/>
          <w:szCs w:val="22"/>
        </w:rPr>
        <w:t>(</w:t>
      </w:r>
      <w:r w:rsidRPr="00AA241B">
        <w:rPr>
          <w:sz w:val="22"/>
          <w:szCs w:val="22"/>
        </w:rPr>
        <w:t xml:space="preserve">noting that </w:t>
      </w:r>
      <w:r w:rsidRPr="00AA241B">
        <w:rPr>
          <w:smallCaps/>
          <w:sz w:val="22"/>
          <w:szCs w:val="22"/>
        </w:rPr>
        <w:t>“[</w:t>
      </w:r>
      <w:r w:rsidRPr="00AA241B">
        <w:rPr>
          <w:sz w:val="22"/>
          <w:szCs w:val="22"/>
        </w:rPr>
        <w:t>c]onditional approval of disclosure statements, and combined plan/disclosure statements, will likely become the norm for small business debtors” given the bankruptcy rules’ prescribed notice periods for the hearings on the disclosure statement and plan confirmation”).</w:t>
      </w:r>
    </w:p>
  </w:footnote>
  <w:footnote w:id="40">
    <w:p w:rsidR="00855963" w:rsidRPr="00AA241B" w:rsidRDefault="00855963" w:rsidP="00576BC5">
      <w:pPr>
        <w:pStyle w:val="FootnoteText"/>
        <w:rPr>
          <w:sz w:val="22"/>
          <w:szCs w:val="22"/>
        </w:rPr>
      </w:pPr>
      <w:r w:rsidRPr="00AA241B">
        <w:rPr>
          <w:rStyle w:val="FootnoteReference"/>
          <w:sz w:val="22"/>
          <w:szCs w:val="22"/>
        </w:rPr>
        <w:footnoteRef/>
      </w:r>
      <w:r w:rsidRPr="00AA241B">
        <w:rPr>
          <w:sz w:val="22"/>
          <w:szCs w:val="22"/>
        </w:rPr>
        <w:t xml:space="preserve"> </w:t>
      </w:r>
      <w:r w:rsidRPr="00AA241B">
        <w:rPr>
          <w:i/>
          <w:sz w:val="22"/>
          <w:szCs w:val="22"/>
        </w:rPr>
        <w:t xml:space="preserve">In re Mississippi Sports and Recreation, Inc., </w:t>
      </w:r>
      <w:r w:rsidRPr="00AA241B">
        <w:rPr>
          <w:sz w:val="22"/>
          <w:szCs w:val="22"/>
        </w:rPr>
        <w:t>483 B.R. 164, 167 (Bankr. W.D. Wis. 2012) (emphasis in original).</w:t>
      </w:r>
    </w:p>
  </w:footnote>
  <w:footnote w:id="41">
    <w:p w:rsidR="00855963" w:rsidRPr="00AA241B" w:rsidRDefault="00855963" w:rsidP="00576BC5">
      <w:pPr>
        <w:pStyle w:val="FootnoteText"/>
        <w:rPr>
          <w:sz w:val="22"/>
          <w:szCs w:val="22"/>
        </w:rPr>
      </w:pPr>
      <w:r w:rsidRPr="00AA241B">
        <w:rPr>
          <w:rStyle w:val="FootnoteReference"/>
          <w:sz w:val="22"/>
          <w:szCs w:val="22"/>
        </w:rPr>
        <w:footnoteRef/>
      </w:r>
      <w:r w:rsidRPr="00AA241B">
        <w:rPr>
          <w:sz w:val="22"/>
          <w:szCs w:val="22"/>
        </w:rPr>
        <w:t xml:space="preserve"> ABI Meeting, </w:t>
      </w:r>
      <w:r w:rsidRPr="00AA241B">
        <w:rPr>
          <w:i/>
          <w:sz w:val="22"/>
          <w:szCs w:val="22"/>
        </w:rPr>
        <w:t xml:space="preserve">supra </w:t>
      </w:r>
      <w:r w:rsidRPr="00AA241B">
        <w:rPr>
          <w:sz w:val="22"/>
          <w:szCs w:val="22"/>
        </w:rPr>
        <w:t xml:space="preserve">note 39, at 20 (testimony of the Honorable Dennis Dow). Judge Dow outlines a number of the problems presented by BAPCPA’s time deadlines for small businesses in his testimony. </w:t>
      </w:r>
      <w:r w:rsidRPr="00AA241B">
        <w:rPr>
          <w:i/>
          <w:sz w:val="22"/>
          <w:szCs w:val="22"/>
        </w:rPr>
        <w:t xml:space="preserve">See id. </w:t>
      </w:r>
      <w:r w:rsidRPr="00AA241B">
        <w:rPr>
          <w:sz w:val="22"/>
          <w:szCs w:val="22"/>
        </w:rPr>
        <w:t>at 19-22.</w:t>
      </w:r>
    </w:p>
  </w:footnote>
  <w:footnote w:id="42">
    <w:p w:rsidR="00855963" w:rsidRPr="00AA241B" w:rsidRDefault="00855963" w:rsidP="00576BC5">
      <w:pPr>
        <w:pStyle w:val="FootnoteText"/>
        <w:rPr>
          <w:sz w:val="22"/>
          <w:szCs w:val="22"/>
        </w:rPr>
      </w:pPr>
      <w:r w:rsidRPr="00AA241B">
        <w:rPr>
          <w:rStyle w:val="FootnoteReference"/>
          <w:sz w:val="22"/>
          <w:szCs w:val="22"/>
        </w:rPr>
        <w:footnoteRef/>
      </w:r>
      <w:r w:rsidRPr="00AA241B">
        <w:rPr>
          <w:sz w:val="22"/>
          <w:szCs w:val="22"/>
        </w:rPr>
        <w:t xml:space="preserve"> For a discussion of this problem, </w:t>
      </w:r>
      <w:r w:rsidRPr="00AA241B">
        <w:rPr>
          <w:i/>
          <w:sz w:val="22"/>
          <w:szCs w:val="22"/>
        </w:rPr>
        <w:t xml:space="preserve">see </w:t>
      </w:r>
      <w:r w:rsidRPr="00AA241B">
        <w:rPr>
          <w:sz w:val="22"/>
          <w:szCs w:val="22"/>
        </w:rPr>
        <w:t xml:space="preserve">Lawton ABI, </w:t>
      </w:r>
      <w:r w:rsidRPr="00AA241B">
        <w:rPr>
          <w:i/>
          <w:sz w:val="22"/>
          <w:szCs w:val="22"/>
        </w:rPr>
        <w:t xml:space="preserve">supra </w:t>
      </w:r>
      <w:r w:rsidRPr="00AA241B">
        <w:rPr>
          <w:sz w:val="22"/>
          <w:szCs w:val="22"/>
        </w:rPr>
        <w:t xml:space="preserve">note 7, at </w:t>
      </w:r>
      <w:r w:rsidRPr="00AA241B">
        <w:rPr>
          <w:smallCaps/>
          <w:sz w:val="22"/>
          <w:szCs w:val="22"/>
        </w:rPr>
        <w:t xml:space="preserve">81-83. </w:t>
      </w:r>
      <w:r w:rsidRPr="00AA241B">
        <w:rPr>
          <w:sz w:val="22"/>
          <w:szCs w:val="22"/>
        </w:rPr>
        <w:t xml:space="preserve">The obverse is also a problem. What if a debtor incorrectly checks the box on the petition indicating that it is a small business debtor when, in reality, it is not? </w:t>
      </w:r>
      <w:r w:rsidRPr="00AA241B">
        <w:rPr>
          <w:i/>
          <w:sz w:val="22"/>
          <w:szCs w:val="22"/>
        </w:rPr>
        <w:t xml:space="preserve">See In re Swartville, </w:t>
      </w:r>
      <w:r w:rsidRPr="00AA241B">
        <w:rPr>
          <w:sz w:val="22"/>
          <w:szCs w:val="22"/>
        </w:rPr>
        <w:t xml:space="preserve">483 B.R. 453, 458 (Bankr. E.D. N.C. 2012) (holding that the small business deadlines did not apply to debtor that had mistakenly and in “good faith” checked the wrong box on the petition when that mistaken designation neither benefitted debtor nor prejudiced creditors). </w:t>
      </w:r>
    </w:p>
  </w:footnote>
  <w:footnote w:id="43">
    <w:p w:rsidR="00855963" w:rsidRPr="00AA241B" w:rsidRDefault="00855963" w:rsidP="00576BC5">
      <w:pPr>
        <w:pStyle w:val="FootnoteText"/>
        <w:rPr>
          <w:sz w:val="22"/>
          <w:szCs w:val="22"/>
        </w:rPr>
      </w:pPr>
      <w:r w:rsidRPr="00AA241B">
        <w:rPr>
          <w:rStyle w:val="FootnoteReference"/>
          <w:sz w:val="22"/>
          <w:szCs w:val="22"/>
        </w:rPr>
        <w:footnoteRef/>
      </w:r>
      <w:r w:rsidRPr="00AA241B">
        <w:rPr>
          <w:sz w:val="22"/>
          <w:szCs w:val="22"/>
        </w:rPr>
        <w:t xml:space="preserve"> </w:t>
      </w:r>
      <w:r w:rsidRPr="00AA241B">
        <w:rPr>
          <w:i/>
          <w:sz w:val="22"/>
          <w:szCs w:val="22"/>
        </w:rPr>
        <w:t xml:space="preserve">See In re Florida Coastal Airlines, Inc., </w:t>
      </w:r>
      <w:r w:rsidRPr="00AA241B">
        <w:rPr>
          <w:sz w:val="22"/>
          <w:szCs w:val="22"/>
        </w:rPr>
        <w:t xml:space="preserve">361 B.R. 286, 292 (Bankr. S.D. Fla. 2007) (holding that the 300-day plan proposal period in §1121(e)(2) “applies only to plans filed by the debtor and that there is no statutory deadline for the filing of such a reorganization plan by any party in interest other than the debtor”); </w:t>
      </w:r>
      <w:r w:rsidRPr="00AA241B">
        <w:rPr>
          <w:i/>
          <w:sz w:val="22"/>
          <w:szCs w:val="22"/>
        </w:rPr>
        <w:t xml:space="preserve">cf. In re Randi’s, Inc., </w:t>
      </w:r>
      <w:r w:rsidRPr="00AA241B">
        <w:rPr>
          <w:sz w:val="22"/>
          <w:szCs w:val="22"/>
        </w:rPr>
        <w:t xml:space="preserve">474 B.R. 783, 786 (Bankr. S.D. Ga. 2012) (dismissing case and holding that 300-day deadline applied to plan filed by debtor’s sole shareholder outside the 300-day deadline because shareholder plan was virtually identical to debtor’s untimely filed plan). </w:t>
      </w:r>
      <w:r w:rsidRPr="00AA241B">
        <w:rPr>
          <w:i/>
          <w:sz w:val="22"/>
          <w:szCs w:val="22"/>
        </w:rPr>
        <w:t xml:space="preserve">Contra </w:t>
      </w:r>
      <w:r w:rsidRPr="00AA241B">
        <w:rPr>
          <w:sz w:val="22"/>
          <w:szCs w:val="22"/>
        </w:rPr>
        <w:t xml:space="preserve">7-1121 </w:t>
      </w:r>
      <w:r w:rsidRPr="00AA241B">
        <w:rPr>
          <w:smallCaps/>
          <w:sz w:val="22"/>
          <w:szCs w:val="22"/>
        </w:rPr>
        <w:t xml:space="preserve">Collier on Bankruptcy </w:t>
      </w:r>
      <w:r w:rsidRPr="00AA241B">
        <w:rPr>
          <w:sz w:val="22"/>
          <w:szCs w:val="22"/>
        </w:rPr>
        <w:t xml:space="preserve">P 1121.07[2] (2013) (footnote omitted) (stating that after the small business debtor’s exclusivity period expires, “any party in interest may file a competing plan . . . so long as the party files its plan before the expiration of 300 days from the order for relief”); </w:t>
      </w:r>
      <w:r w:rsidRPr="00AA241B">
        <w:rPr>
          <w:i/>
          <w:sz w:val="22"/>
          <w:szCs w:val="22"/>
        </w:rPr>
        <w:t xml:space="preserve">accord In re Castle Horizon Real Estate, LLC, </w:t>
      </w:r>
      <w:r w:rsidRPr="00AA241B">
        <w:rPr>
          <w:sz w:val="22"/>
          <w:szCs w:val="22"/>
        </w:rPr>
        <w:t>2010 WL 3636160, at *2 (Bankr. E.D. N.C. Sept. 10, 2010) (citation omitted)(stating that “if no party files a plan within 300 days, then no relief is available”).</w:t>
      </w:r>
    </w:p>
  </w:footnote>
  <w:footnote w:id="44">
    <w:p w:rsidR="00855963" w:rsidRPr="00AA241B" w:rsidRDefault="00855963" w:rsidP="00576BC5">
      <w:pPr>
        <w:pStyle w:val="FootnoteText"/>
        <w:rPr>
          <w:sz w:val="22"/>
          <w:szCs w:val="22"/>
        </w:rPr>
      </w:pPr>
      <w:r w:rsidRPr="00AA241B">
        <w:rPr>
          <w:rStyle w:val="FootnoteReference"/>
          <w:sz w:val="22"/>
          <w:szCs w:val="22"/>
        </w:rPr>
        <w:footnoteRef/>
      </w:r>
      <w:r w:rsidRPr="00AA241B">
        <w:rPr>
          <w:sz w:val="22"/>
          <w:szCs w:val="22"/>
        </w:rPr>
        <w:t xml:space="preserve"> </w:t>
      </w:r>
      <w:r w:rsidRPr="00AA241B">
        <w:rPr>
          <w:i/>
          <w:sz w:val="22"/>
          <w:szCs w:val="22"/>
        </w:rPr>
        <w:t xml:space="preserve">Castle Horizon, </w:t>
      </w:r>
      <w:r w:rsidRPr="00AA241B">
        <w:rPr>
          <w:sz w:val="22"/>
          <w:szCs w:val="22"/>
        </w:rPr>
        <w:t xml:space="preserve">2010 WL 3636160, at *1. </w:t>
      </w:r>
    </w:p>
  </w:footnote>
  <w:footnote w:id="45">
    <w:p w:rsidR="00855963" w:rsidRPr="00AA241B" w:rsidRDefault="00855963" w:rsidP="00576BC5">
      <w:pPr>
        <w:pStyle w:val="FootnoteText"/>
        <w:rPr>
          <w:sz w:val="22"/>
          <w:szCs w:val="22"/>
        </w:rPr>
      </w:pPr>
      <w:r w:rsidRPr="00AA241B">
        <w:rPr>
          <w:rStyle w:val="FootnoteReference"/>
          <w:sz w:val="22"/>
          <w:szCs w:val="22"/>
        </w:rPr>
        <w:footnoteRef/>
      </w:r>
      <w:r w:rsidRPr="00AA241B">
        <w:rPr>
          <w:sz w:val="22"/>
          <w:szCs w:val="22"/>
        </w:rPr>
        <w:t xml:space="preserve"> </w:t>
      </w:r>
      <w:r w:rsidRPr="00AA241B">
        <w:rPr>
          <w:i/>
          <w:sz w:val="22"/>
          <w:szCs w:val="22"/>
        </w:rPr>
        <w:t xml:space="preserve">See id. </w:t>
      </w:r>
      <w:r w:rsidRPr="00AA241B">
        <w:rPr>
          <w:sz w:val="22"/>
          <w:szCs w:val="22"/>
        </w:rPr>
        <w:t xml:space="preserve">at **1, 2 (holding that the 300-day deadline applies to amended plans that are not “’cleaned up version[s] of the original”). </w:t>
      </w:r>
      <w:r w:rsidRPr="00AA241B">
        <w:rPr>
          <w:i/>
          <w:sz w:val="22"/>
          <w:szCs w:val="22"/>
        </w:rPr>
        <w:t xml:space="preserve">Cf. In re Florida Coastal Airlines, Inc., </w:t>
      </w:r>
      <w:r w:rsidRPr="00AA241B">
        <w:rPr>
          <w:sz w:val="22"/>
          <w:szCs w:val="22"/>
        </w:rPr>
        <w:t>361 B.R. 286, 290 (Bankr. S.D. Fla. 2007) (holding that debtor’s amended plan, filed more than 300 days after order for relief, related back to original plan filed within the 300-day period because the amended plan was “fundamentally a cleaned-up version of [debtor’s] original plan”).</w:t>
      </w:r>
    </w:p>
  </w:footnote>
  <w:footnote w:id="46">
    <w:p w:rsidR="00855963" w:rsidRPr="00AA241B" w:rsidRDefault="00855963" w:rsidP="00576BC5">
      <w:pPr>
        <w:pStyle w:val="FootnoteText"/>
        <w:rPr>
          <w:sz w:val="22"/>
          <w:szCs w:val="22"/>
        </w:rPr>
      </w:pPr>
      <w:r w:rsidRPr="00AA241B">
        <w:rPr>
          <w:rStyle w:val="FootnoteReference"/>
          <w:sz w:val="22"/>
          <w:szCs w:val="22"/>
        </w:rPr>
        <w:footnoteRef/>
      </w:r>
      <w:r w:rsidRPr="00AA241B">
        <w:rPr>
          <w:sz w:val="22"/>
          <w:szCs w:val="22"/>
        </w:rPr>
        <w:t xml:space="preserve"> </w:t>
      </w:r>
      <w:r w:rsidRPr="00AA241B">
        <w:rPr>
          <w:i/>
          <w:sz w:val="22"/>
          <w:szCs w:val="22"/>
        </w:rPr>
        <w:t xml:space="preserve">In re Randi’s, Inc. </w:t>
      </w:r>
      <w:r w:rsidRPr="00AA241B">
        <w:rPr>
          <w:sz w:val="22"/>
          <w:szCs w:val="22"/>
        </w:rPr>
        <w:t>474 B.R. 783, 786 (Bankr. S.D. Ga. 2012) (citation omitted) (holding that “[o]nce the 300-day time period ends and there is no plan filed by any party in interest, ‘cause’ for dismissal exists”).</w:t>
      </w:r>
    </w:p>
  </w:footnote>
  <w:footnote w:id="47">
    <w:p w:rsidR="00855963" w:rsidRPr="00AA241B" w:rsidRDefault="00855963" w:rsidP="00576BC5">
      <w:pPr>
        <w:pStyle w:val="FootnoteText"/>
        <w:rPr>
          <w:i/>
          <w:sz w:val="22"/>
          <w:szCs w:val="22"/>
        </w:rPr>
      </w:pPr>
      <w:r w:rsidRPr="00AA241B">
        <w:rPr>
          <w:rStyle w:val="FootnoteReference"/>
          <w:sz w:val="22"/>
          <w:szCs w:val="22"/>
        </w:rPr>
        <w:footnoteRef/>
      </w:r>
      <w:r w:rsidRPr="00AA241B">
        <w:rPr>
          <w:sz w:val="22"/>
          <w:szCs w:val="22"/>
        </w:rPr>
        <w:t xml:space="preserve"> </w:t>
      </w:r>
      <w:r w:rsidRPr="00AA241B">
        <w:rPr>
          <w:i/>
          <w:sz w:val="22"/>
          <w:szCs w:val="22"/>
        </w:rPr>
        <w:t xml:space="preserve">See In re Mojica, </w:t>
      </w:r>
      <w:r w:rsidRPr="00AA241B">
        <w:rPr>
          <w:sz w:val="22"/>
          <w:szCs w:val="22"/>
        </w:rPr>
        <w:t xml:space="preserve">2013 WL 2180740, at *2 (Bankr. D. P.R. May 20, 2013) (denying debtor motion for reconsideration of dismissal and holding that “if a small business plan is not confirmed within the deadline, the court has no choice other than to dismiss the case, except for perhaps in rare circumstances not applicable here”); </w:t>
      </w:r>
      <w:r w:rsidRPr="00AA241B">
        <w:rPr>
          <w:i/>
          <w:sz w:val="22"/>
          <w:szCs w:val="22"/>
        </w:rPr>
        <w:t xml:space="preserve">In re J &amp; J Fritz Media, Ltd., </w:t>
      </w:r>
      <w:r w:rsidRPr="00AA241B">
        <w:rPr>
          <w:sz w:val="22"/>
          <w:szCs w:val="22"/>
        </w:rPr>
        <w:t xml:space="preserve">2010 WL 4882601, at *2, *3 (Bankr. W.D. Tex. Nov. 24, 2010) (noting that while BAPCPA was “a pernicious piece of legislation . . . that lays a trap for the unwary” it was the law and required that “[a] small business case [ ] be confirmed within 45 days after the filing of the plan”); </w:t>
      </w:r>
      <w:r w:rsidRPr="00AA241B">
        <w:rPr>
          <w:i/>
          <w:sz w:val="22"/>
          <w:szCs w:val="22"/>
        </w:rPr>
        <w:t xml:space="preserve">In re Caring Heart Home Health Corp., </w:t>
      </w:r>
      <w:r w:rsidRPr="00AA241B">
        <w:rPr>
          <w:sz w:val="22"/>
          <w:szCs w:val="22"/>
        </w:rPr>
        <w:t xml:space="preserve">380 B.R. 908, 910-11 (Bankr. S.D. Fla. 2008) (noting that court was “bound by the inflexible mandate imposed by Congress” and dismissing case for failure to confirm plan within 45 days of its proposal even though bankruptcy court had set disclosure statement hearing for 60 days after the date of plan proposal); </w:t>
      </w:r>
      <w:r w:rsidRPr="00AA241B">
        <w:rPr>
          <w:i/>
          <w:sz w:val="22"/>
          <w:szCs w:val="22"/>
        </w:rPr>
        <w:t xml:space="preserve">contra In re Maxx Towing, Inc., </w:t>
      </w:r>
      <w:r w:rsidRPr="00AA241B">
        <w:rPr>
          <w:sz w:val="22"/>
          <w:szCs w:val="22"/>
        </w:rPr>
        <w:t>2011 WL 3267937, at *4 (Bankr. E.D. Mich. July 27, 2011) (holding that failure to confirm within 45 days did not mandate dismissal when delays in process “were not due to want of prosecution” and where adherence to the 45-day deadline would leave debtors in some cases “little, if any, time to deal with any objections to confirmation and the statutory scheme would be frustrated and rendered impractical, requiring dismissals and re-filings for no particular reason”).</w:t>
      </w:r>
      <w:r w:rsidRPr="00AA241B">
        <w:rPr>
          <w:i/>
          <w:sz w:val="22"/>
          <w:szCs w:val="22"/>
        </w:rPr>
        <w:t xml:space="preserve"> </w:t>
      </w:r>
    </w:p>
  </w:footnote>
  <w:footnote w:id="48">
    <w:p w:rsidR="00855963" w:rsidRPr="00AA241B" w:rsidRDefault="00855963" w:rsidP="00576BC5">
      <w:pPr>
        <w:pStyle w:val="FootnoteText"/>
        <w:rPr>
          <w:sz w:val="22"/>
          <w:szCs w:val="22"/>
        </w:rPr>
      </w:pPr>
      <w:r w:rsidRPr="00AA241B">
        <w:rPr>
          <w:rStyle w:val="FootnoteReference"/>
          <w:sz w:val="22"/>
          <w:szCs w:val="22"/>
        </w:rPr>
        <w:footnoteRef/>
      </w:r>
      <w:r w:rsidRPr="00AA241B">
        <w:rPr>
          <w:sz w:val="22"/>
          <w:szCs w:val="22"/>
        </w:rPr>
        <w:t xml:space="preserve"> </w:t>
      </w:r>
      <w:r w:rsidRPr="00AA241B">
        <w:rPr>
          <w:i/>
          <w:sz w:val="22"/>
          <w:szCs w:val="22"/>
        </w:rPr>
        <w:t xml:space="preserve">See In re Crossroads Ford, Inc., </w:t>
      </w:r>
      <w:r w:rsidRPr="00AA241B">
        <w:rPr>
          <w:sz w:val="22"/>
          <w:szCs w:val="22"/>
        </w:rPr>
        <w:t xml:space="preserve">453 B.R. 764, 769-70 (Bankr. D. Neb. 2011) (holding that debtor’s failure to confirm initially filed plan within 45 days did not preclude debtor from filing an amended plan within 300 days and obtaining confirmation of that plan within 45 days of its filing); </w:t>
      </w:r>
      <w:r w:rsidRPr="00AA241B">
        <w:rPr>
          <w:i/>
          <w:sz w:val="22"/>
          <w:szCs w:val="22"/>
        </w:rPr>
        <w:t xml:space="preserve">cf. In re Save Our Springs Alliance, Inc., </w:t>
      </w:r>
      <w:r w:rsidRPr="00AA241B">
        <w:rPr>
          <w:sz w:val="22"/>
          <w:szCs w:val="22"/>
        </w:rPr>
        <w:t>388 B.R. 202, 225 (Bankr. W.D. Tex. 2008)</w:t>
      </w:r>
      <w:r w:rsidRPr="00AA241B">
        <w:rPr>
          <w:i/>
          <w:sz w:val="22"/>
          <w:szCs w:val="22"/>
        </w:rPr>
        <w:t xml:space="preserve"> </w:t>
      </w:r>
      <w:r w:rsidRPr="00AA241B">
        <w:rPr>
          <w:sz w:val="22"/>
          <w:szCs w:val="22"/>
        </w:rPr>
        <w:t>(holding that the 45-day confirmation period runs from filing of the original plan, “at least when an amended plan is not substantially different from the original plan”).</w:t>
      </w:r>
    </w:p>
  </w:footnote>
  <w:footnote w:id="49">
    <w:p w:rsidR="00855963" w:rsidRPr="00AA241B" w:rsidRDefault="00855963" w:rsidP="00576BC5">
      <w:pPr>
        <w:pStyle w:val="FootnoteText"/>
        <w:rPr>
          <w:sz w:val="22"/>
          <w:szCs w:val="22"/>
        </w:rPr>
      </w:pPr>
      <w:r w:rsidRPr="00AA241B">
        <w:rPr>
          <w:rStyle w:val="FootnoteReference"/>
          <w:sz w:val="22"/>
          <w:szCs w:val="22"/>
        </w:rPr>
        <w:footnoteRef/>
      </w:r>
      <w:r w:rsidRPr="00AA241B">
        <w:rPr>
          <w:sz w:val="22"/>
          <w:szCs w:val="22"/>
        </w:rPr>
        <w:t xml:space="preserve"> </w:t>
      </w:r>
      <w:r w:rsidRPr="00AA241B">
        <w:rPr>
          <w:i/>
          <w:sz w:val="22"/>
          <w:szCs w:val="22"/>
        </w:rPr>
        <w:t xml:space="preserve">See In re Mississippi Sports and Recreation, Inc., </w:t>
      </w:r>
      <w:r w:rsidRPr="00AA241B">
        <w:rPr>
          <w:sz w:val="22"/>
          <w:szCs w:val="22"/>
        </w:rPr>
        <w:t xml:space="preserve">483 B.R. 164, 168 (Bankr. W.D. Wis. 2012) (finding “sufficient compliance with §1121(e)(3)” because the initial confirmation hearing had occurred within 45 days, no party in interest had opposed subsequent adjournments of the confirmation hearing, and the Code required only “notice to parties in interest which is sufficient under the particular circumstances,” not a filed motion to obtain an extension of the 45-day plan-confirmation period); </w:t>
      </w:r>
      <w:r w:rsidRPr="00AA241B">
        <w:rPr>
          <w:i/>
          <w:sz w:val="22"/>
          <w:szCs w:val="22"/>
        </w:rPr>
        <w:t xml:space="preserve">In re Save Our Springs Alliance, Inc., </w:t>
      </w:r>
      <w:r w:rsidRPr="00AA241B">
        <w:rPr>
          <w:sz w:val="22"/>
          <w:szCs w:val="22"/>
        </w:rPr>
        <w:t xml:space="preserve">388 B.R. 202, 228-29 (Bankr. W.D. Tex. 2008) (finding that “BAPCPA’s small business confirmation deadlines provisions . . . [were] simply unworkable under the facts of [the] case” and concluding that debtor should not bear “the full consequences of a failure to meet §1121(e)’s deadline,” given debtor’s diligence in trying to obtain an extension and the “impossibility” of rendering a decision within the statutory time frame).  </w:t>
      </w:r>
    </w:p>
  </w:footnote>
  <w:footnote w:id="50">
    <w:p w:rsidR="00855963" w:rsidRPr="00AA241B" w:rsidRDefault="00855963" w:rsidP="00576BC5">
      <w:pPr>
        <w:pStyle w:val="FootnoteText"/>
        <w:rPr>
          <w:sz w:val="22"/>
          <w:szCs w:val="22"/>
        </w:rPr>
      </w:pPr>
      <w:r w:rsidRPr="00AA241B">
        <w:rPr>
          <w:rStyle w:val="FootnoteReference"/>
          <w:sz w:val="22"/>
          <w:szCs w:val="22"/>
        </w:rPr>
        <w:footnoteRef/>
      </w:r>
      <w:r w:rsidRPr="00AA241B">
        <w:rPr>
          <w:sz w:val="22"/>
          <w:szCs w:val="22"/>
        </w:rPr>
        <w:t xml:space="preserve"> BAPCPA Report, </w:t>
      </w:r>
      <w:r w:rsidRPr="00AA241B">
        <w:rPr>
          <w:i/>
          <w:sz w:val="22"/>
          <w:szCs w:val="22"/>
        </w:rPr>
        <w:t xml:space="preserve">supra </w:t>
      </w:r>
      <w:r w:rsidRPr="00AA241B">
        <w:rPr>
          <w:sz w:val="22"/>
          <w:szCs w:val="22"/>
        </w:rPr>
        <w:t>note 1, at 19.</w:t>
      </w:r>
    </w:p>
  </w:footnote>
  <w:footnote w:id="51">
    <w:p w:rsidR="00855963" w:rsidRPr="00AA241B" w:rsidRDefault="00855963" w:rsidP="00576BC5">
      <w:pPr>
        <w:pStyle w:val="FootnoteText"/>
        <w:rPr>
          <w:sz w:val="22"/>
          <w:szCs w:val="22"/>
        </w:rPr>
      </w:pPr>
      <w:r w:rsidRPr="00AA241B">
        <w:rPr>
          <w:rStyle w:val="FootnoteReference"/>
          <w:sz w:val="22"/>
          <w:szCs w:val="22"/>
        </w:rPr>
        <w:footnoteRef/>
      </w:r>
      <w:r w:rsidRPr="00AA241B">
        <w:rPr>
          <w:sz w:val="22"/>
          <w:szCs w:val="22"/>
        </w:rPr>
        <w:t xml:space="preserve"> </w:t>
      </w:r>
      <w:r w:rsidRPr="00AA241B">
        <w:rPr>
          <w:i/>
          <w:sz w:val="22"/>
          <w:szCs w:val="22"/>
        </w:rPr>
        <w:t xml:space="preserve">See </w:t>
      </w:r>
      <w:r w:rsidRPr="00AA241B">
        <w:rPr>
          <w:sz w:val="22"/>
          <w:szCs w:val="22"/>
        </w:rPr>
        <w:t xml:space="preserve">1997 Commission Report, </w:t>
      </w:r>
      <w:r w:rsidRPr="00AA241B">
        <w:rPr>
          <w:i/>
          <w:sz w:val="22"/>
          <w:szCs w:val="22"/>
        </w:rPr>
        <w:t xml:space="preserve">supra </w:t>
      </w:r>
      <w:r w:rsidRPr="00AA241B">
        <w:rPr>
          <w:sz w:val="22"/>
          <w:szCs w:val="22"/>
        </w:rPr>
        <w:t>note 1, at 609.</w:t>
      </w:r>
    </w:p>
  </w:footnote>
  <w:footnote w:id="52">
    <w:p w:rsidR="00855963" w:rsidRPr="00AA241B" w:rsidRDefault="00855963" w:rsidP="00576BC5">
      <w:pPr>
        <w:pStyle w:val="FootnoteText"/>
        <w:rPr>
          <w:sz w:val="22"/>
          <w:szCs w:val="22"/>
        </w:rPr>
      </w:pPr>
      <w:r w:rsidRPr="00AA241B">
        <w:rPr>
          <w:rStyle w:val="FootnoteReference"/>
          <w:sz w:val="22"/>
          <w:szCs w:val="22"/>
        </w:rPr>
        <w:footnoteRef/>
      </w:r>
      <w:r w:rsidRPr="00AA241B">
        <w:rPr>
          <w:sz w:val="22"/>
          <w:szCs w:val="22"/>
        </w:rPr>
        <w:t xml:space="preserve"> </w:t>
      </w:r>
      <w:r w:rsidRPr="00AA241B">
        <w:rPr>
          <w:i/>
          <w:sz w:val="22"/>
          <w:szCs w:val="22"/>
        </w:rPr>
        <w:t xml:space="preserve">Id. </w:t>
      </w:r>
      <w:r w:rsidRPr="00AA241B">
        <w:rPr>
          <w:sz w:val="22"/>
          <w:szCs w:val="22"/>
        </w:rPr>
        <w:t>at 613.</w:t>
      </w:r>
    </w:p>
  </w:footnote>
  <w:footnote w:id="53">
    <w:p w:rsidR="00855963" w:rsidRPr="00AA241B" w:rsidRDefault="00855963" w:rsidP="00576BC5">
      <w:pPr>
        <w:pStyle w:val="FootnoteText"/>
        <w:rPr>
          <w:sz w:val="22"/>
          <w:szCs w:val="22"/>
        </w:rPr>
      </w:pPr>
      <w:r w:rsidRPr="00AA241B">
        <w:rPr>
          <w:rStyle w:val="FootnoteReference"/>
          <w:sz w:val="22"/>
          <w:szCs w:val="22"/>
        </w:rPr>
        <w:footnoteRef/>
      </w:r>
      <w:r w:rsidRPr="00AA241B">
        <w:rPr>
          <w:sz w:val="22"/>
          <w:szCs w:val="22"/>
        </w:rPr>
        <w:t xml:space="preserve"> </w:t>
      </w:r>
      <w:r w:rsidRPr="00AA241B">
        <w:rPr>
          <w:i/>
          <w:sz w:val="22"/>
          <w:szCs w:val="22"/>
        </w:rPr>
        <w:t xml:space="preserve">See id. </w:t>
      </w:r>
      <w:r w:rsidRPr="00AA241B">
        <w:rPr>
          <w:sz w:val="22"/>
          <w:szCs w:val="22"/>
        </w:rPr>
        <w:t>at 621 §2.5.5.</w:t>
      </w:r>
    </w:p>
  </w:footnote>
  <w:footnote w:id="54">
    <w:p w:rsidR="00855963" w:rsidRPr="00AA241B" w:rsidRDefault="00855963" w:rsidP="00576BC5">
      <w:pPr>
        <w:pStyle w:val="FootnoteText"/>
        <w:rPr>
          <w:smallCaps/>
          <w:sz w:val="22"/>
          <w:szCs w:val="22"/>
        </w:rPr>
      </w:pPr>
      <w:r w:rsidRPr="00AA241B">
        <w:rPr>
          <w:rStyle w:val="FootnoteReference"/>
          <w:sz w:val="22"/>
          <w:szCs w:val="22"/>
        </w:rPr>
        <w:footnoteRef/>
      </w:r>
      <w:r w:rsidRPr="00AA241B">
        <w:rPr>
          <w:sz w:val="22"/>
          <w:szCs w:val="22"/>
        </w:rPr>
        <w:t xml:space="preserve"> </w:t>
      </w:r>
      <w:r w:rsidRPr="00AA241B">
        <w:rPr>
          <w:i/>
          <w:sz w:val="22"/>
          <w:szCs w:val="22"/>
        </w:rPr>
        <w:t xml:space="preserve">See </w:t>
      </w:r>
      <w:r w:rsidRPr="00AA241B">
        <w:rPr>
          <w:sz w:val="22"/>
          <w:szCs w:val="22"/>
        </w:rPr>
        <w:t xml:space="preserve">Elizabeth Warren and Jay Lawrence Westbrook, </w:t>
      </w:r>
      <w:r w:rsidRPr="00AA241B">
        <w:rPr>
          <w:i/>
          <w:sz w:val="22"/>
          <w:szCs w:val="22"/>
        </w:rPr>
        <w:t xml:space="preserve">The Success of Chapter 11: A Challenge to the Critics, </w:t>
      </w:r>
      <w:r w:rsidRPr="00AA241B">
        <w:rPr>
          <w:sz w:val="22"/>
          <w:szCs w:val="22"/>
        </w:rPr>
        <w:t xml:space="preserve">107 </w:t>
      </w:r>
      <w:r w:rsidRPr="00AA241B">
        <w:rPr>
          <w:smallCaps/>
          <w:sz w:val="22"/>
          <w:szCs w:val="22"/>
        </w:rPr>
        <w:t>Mich. L. Rev. 603 (2009).</w:t>
      </w:r>
    </w:p>
  </w:footnote>
  <w:footnote w:id="55">
    <w:p w:rsidR="00855963" w:rsidRPr="00AA241B" w:rsidRDefault="00855963" w:rsidP="00576BC5">
      <w:pPr>
        <w:pStyle w:val="FootnoteText"/>
        <w:rPr>
          <w:sz w:val="22"/>
          <w:szCs w:val="22"/>
        </w:rPr>
      </w:pPr>
      <w:r w:rsidRPr="00AA241B">
        <w:rPr>
          <w:rStyle w:val="FootnoteReference"/>
          <w:sz w:val="22"/>
          <w:szCs w:val="22"/>
        </w:rPr>
        <w:footnoteRef/>
      </w:r>
      <w:r w:rsidRPr="00AA241B">
        <w:rPr>
          <w:sz w:val="22"/>
          <w:szCs w:val="22"/>
        </w:rPr>
        <w:t xml:space="preserve"> The sample in this portion of </w:t>
      </w:r>
      <w:r>
        <w:rPr>
          <w:sz w:val="22"/>
          <w:szCs w:val="22"/>
        </w:rPr>
        <w:t>my testimony</w:t>
      </w:r>
      <w:r w:rsidRPr="00AA241B">
        <w:rPr>
          <w:sz w:val="22"/>
          <w:szCs w:val="22"/>
        </w:rPr>
        <w:t xml:space="preserve"> is based on 799, not 782, cases.  The difference in sample sizes is due to two things. First, the 799-case sample includes several cases that had no disposition as of early 2012, when the Lawton Arizona article</w:t>
      </w:r>
      <w:r w:rsidRPr="00AA241B">
        <w:rPr>
          <w:i/>
          <w:sz w:val="22"/>
          <w:szCs w:val="22"/>
        </w:rPr>
        <w:t xml:space="preserve"> </w:t>
      </w:r>
      <w:r w:rsidRPr="00AA241B">
        <w:rPr>
          <w:sz w:val="22"/>
          <w:szCs w:val="22"/>
        </w:rPr>
        <w:t>went to press, but for which there has been a subsequent plan confirmation, conversion, or dismissal. Second, the 782-case sample excluded a number of cases with no reliable liability information. Reliable liability information was critical in the 782-case sample in order to identify small from non-small business debtors. Small business identification was only important for the 799-case sample for cases that remained in chapter 11 more than 345 days.</w:t>
      </w:r>
      <w:r w:rsidRPr="00AA241B">
        <w:rPr>
          <w:smallCaps/>
          <w:sz w:val="22"/>
          <w:szCs w:val="22"/>
        </w:rPr>
        <w:t xml:space="preserve">  </w:t>
      </w:r>
    </w:p>
  </w:footnote>
  <w:footnote w:id="56">
    <w:p w:rsidR="00855963" w:rsidRPr="00AA241B" w:rsidRDefault="00855963" w:rsidP="00576BC5">
      <w:pPr>
        <w:pStyle w:val="FootnoteText"/>
        <w:rPr>
          <w:sz w:val="22"/>
          <w:szCs w:val="22"/>
        </w:rPr>
      </w:pPr>
      <w:r w:rsidRPr="00AA241B">
        <w:rPr>
          <w:rStyle w:val="FootnoteReference"/>
          <w:sz w:val="22"/>
          <w:szCs w:val="22"/>
        </w:rPr>
        <w:footnoteRef/>
      </w:r>
      <w:r w:rsidRPr="00AA241B">
        <w:rPr>
          <w:sz w:val="22"/>
          <w:szCs w:val="22"/>
        </w:rPr>
        <w:t xml:space="preserve"> Warren and Westbrook, </w:t>
      </w:r>
      <w:r w:rsidRPr="00AA241B">
        <w:rPr>
          <w:i/>
          <w:sz w:val="22"/>
          <w:szCs w:val="22"/>
        </w:rPr>
        <w:t xml:space="preserve">supra </w:t>
      </w:r>
      <w:r w:rsidRPr="00AA241B">
        <w:rPr>
          <w:sz w:val="22"/>
          <w:szCs w:val="22"/>
        </w:rPr>
        <w:t>note 54, at 628 n.93.</w:t>
      </w:r>
    </w:p>
  </w:footnote>
  <w:footnote w:id="57">
    <w:p w:rsidR="00855963" w:rsidRPr="00AA241B" w:rsidRDefault="00855963" w:rsidP="00576BC5">
      <w:pPr>
        <w:pStyle w:val="FootnoteText"/>
        <w:rPr>
          <w:sz w:val="22"/>
          <w:szCs w:val="22"/>
        </w:rPr>
      </w:pPr>
      <w:r w:rsidRPr="00AA241B">
        <w:rPr>
          <w:rStyle w:val="FootnoteReference"/>
          <w:sz w:val="22"/>
          <w:szCs w:val="22"/>
        </w:rPr>
        <w:footnoteRef/>
      </w:r>
      <w:r w:rsidRPr="00AA241B">
        <w:rPr>
          <w:sz w:val="22"/>
          <w:szCs w:val="22"/>
        </w:rPr>
        <w:t xml:space="preserve"> The Lawton study includes involuntary cases, as well as cases converted </w:t>
      </w:r>
      <w:r w:rsidRPr="00AA241B">
        <w:rPr>
          <w:i/>
          <w:sz w:val="22"/>
          <w:szCs w:val="22"/>
        </w:rPr>
        <w:t xml:space="preserve">to </w:t>
      </w:r>
      <w:r w:rsidRPr="00AA241B">
        <w:rPr>
          <w:sz w:val="22"/>
          <w:szCs w:val="22"/>
        </w:rPr>
        <w:t xml:space="preserve">chapter 11 from another chapter of the Code. For involuntary cases, time to disposition runs from the order for relief, while for converted cases the time to disposition runs from the order converting the case </w:t>
      </w:r>
      <w:r w:rsidRPr="00AA241B">
        <w:rPr>
          <w:i/>
          <w:sz w:val="22"/>
          <w:szCs w:val="22"/>
        </w:rPr>
        <w:t xml:space="preserve">to </w:t>
      </w:r>
      <w:r w:rsidRPr="00AA241B">
        <w:rPr>
          <w:sz w:val="22"/>
          <w:szCs w:val="22"/>
        </w:rPr>
        <w:t>chapter 11.  The time frames are for initial disposition. Thus, if a plan failed and the bankruptcy court dismissed the case post-confirmation the findings here do not include that second disposition. In addition, there was a small subset of cases in which the bankruptcy court granted a debtor’s motion to re-open the case post-dismissal or in which the court set aside or vacated an order of conversion or dismissal. The findings in the Lawton study do not include those additional time frames in the figures reported here.</w:t>
      </w:r>
    </w:p>
  </w:footnote>
  <w:footnote w:id="58">
    <w:p w:rsidR="00855963" w:rsidRPr="00AA241B" w:rsidRDefault="00855963" w:rsidP="00576BC5">
      <w:pPr>
        <w:pStyle w:val="FootnoteText"/>
        <w:rPr>
          <w:sz w:val="22"/>
          <w:szCs w:val="22"/>
        </w:rPr>
      </w:pPr>
      <w:r w:rsidRPr="00AA241B">
        <w:rPr>
          <w:rStyle w:val="FootnoteReference"/>
          <w:sz w:val="22"/>
          <w:szCs w:val="22"/>
        </w:rPr>
        <w:footnoteRef/>
      </w:r>
      <w:r w:rsidRPr="00AA241B">
        <w:rPr>
          <w:sz w:val="22"/>
          <w:szCs w:val="22"/>
        </w:rPr>
        <w:t xml:space="preserve"> </w:t>
      </w:r>
      <w:r w:rsidRPr="00AA241B">
        <w:rPr>
          <w:i/>
          <w:sz w:val="22"/>
          <w:szCs w:val="22"/>
        </w:rPr>
        <w:t xml:space="preserve">See </w:t>
      </w:r>
      <w:r w:rsidRPr="00AA241B">
        <w:rPr>
          <w:sz w:val="22"/>
          <w:szCs w:val="22"/>
        </w:rPr>
        <w:t xml:space="preserve">Warren &amp; Westbrook, </w:t>
      </w:r>
      <w:r w:rsidRPr="00AA241B">
        <w:rPr>
          <w:i/>
          <w:sz w:val="22"/>
          <w:szCs w:val="22"/>
        </w:rPr>
        <w:t xml:space="preserve">supra </w:t>
      </w:r>
      <w:r w:rsidRPr="00AA241B">
        <w:rPr>
          <w:sz w:val="22"/>
          <w:szCs w:val="22"/>
        </w:rPr>
        <w:t>note 54, at 628 n.912.</w:t>
      </w:r>
    </w:p>
  </w:footnote>
  <w:footnote w:id="59">
    <w:p w:rsidR="00855963" w:rsidRPr="00AA241B" w:rsidRDefault="00855963" w:rsidP="00576BC5">
      <w:pPr>
        <w:pStyle w:val="FootnoteText"/>
        <w:rPr>
          <w:sz w:val="22"/>
          <w:szCs w:val="22"/>
        </w:rPr>
      </w:pPr>
      <w:r w:rsidRPr="00AA241B">
        <w:rPr>
          <w:rStyle w:val="FootnoteReference"/>
          <w:sz w:val="22"/>
          <w:szCs w:val="22"/>
        </w:rPr>
        <w:footnoteRef/>
      </w:r>
      <w:r w:rsidRPr="00AA241B">
        <w:rPr>
          <w:sz w:val="22"/>
          <w:szCs w:val="22"/>
        </w:rPr>
        <w:t xml:space="preserve"> In the Warren &amp; Westbrook study, 66.7% of the 1994 cases and 65.2% of the 2002 cases were disposed of within one year’s time. </w:t>
      </w:r>
      <w:r w:rsidRPr="00AA241B">
        <w:rPr>
          <w:i/>
          <w:sz w:val="22"/>
          <w:szCs w:val="22"/>
        </w:rPr>
        <w:t xml:space="preserve">See </w:t>
      </w:r>
      <w:r w:rsidRPr="00AA241B">
        <w:rPr>
          <w:sz w:val="22"/>
          <w:szCs w:val="22"/>
        </w:rPr>
        <w:t xml:space="preserve">Warren and Westbrook, </w:t>
      </w:r>
      <w:r w:rsidRPr="00AA241B">
        <w:rPr>
          <w:i/>
          <w:sz w:val="22"/>
          <w:szCs w:val="22"/>
        </w:rPr>
        <w:t xml:space="preserve">supra </w:t>
      </w:r>
      <w:r w:rsidRPr="00AA241B">
        <w:rPr>
          <w:sz w:val="22"/>
          <w:szCs w:val="22"/>
        </w:rPr>
        <w:t>note 54, at 628 n.91</w:t>
      </w:r>
    </w:p>
  </w:footnote>
  <w:footnote w:id="60">
    <w:p w:rsidR="00855963" w:rsidRPr="00AA241B" w:rsidRDefault="00855963" w:rsidP="00576BC5">
      <w:pPr>
        <w:pStyle w:val="FootnoteText"/>
        <w:rPr>
          <w:sz w:val="22"/>
          <w:szCs w:val="22"/>
        </w:rPr>
      </w:pPr>
      <w:r w:rsidRPr="00AA241B">
        <w:rPr>
          <w:rStyle w:val="FootnoteReference"/>
          <w:sz w:val="22"/>
          <w:szCs w:val="22"/>
        </w:rPr>
        <w:footnoteRef/>
      </w:r>
      <w:r w:rsidRPr="00AA241B">
        <w:rPr>
          <w:sz w:val="22"/>
          <w:szCs w:val="22"/>
        </w:rPr>
        <w:t xml:space="preserve"> See id.  </w:t>
      </w:r>
    </w:p>
  </w:footnote>
  <w:footnote w:id="61">
    <w:p w:rsidR="00855963" w:rsidRPr="00AA241B" w:rsidRDefault="00855963">
      <w:pPr>
        <w:pStyle w:val="FootnoteText"/>
        <w:rPr>
          <w:sz w:val="22"/>
          <w:szCs w:val="22"/>
        </w:rPr>
      </w:pPr>
      <w:r w:rsidRPr="00AA241B">
        <w:rPr>
          <w:rStyle w:val="FootnoteReference"/>
          <w:sz w:val="22"/>
          <w:szCs w:val="22"/>
        </w:rPr>
        <w:footnoteRef/>
      </w:r>
      <w:r w:rsidRPr="00AA241B">
        <w:rPr>
          <w:sz w:val="22"/>
          <w:szCs w:val="22"/>
        </w:rPr>
        <w:t xml:space="preserve"> What constitutes a “group of affiliated debtors?” The Code does not define the term, and timing questions ari</w:t>
      </w:r>
      <w:r>
        <w:rPr>
          <w:sz w:val="22"/>
          <w:szCs w:val="22"/>
        </w:rPr>
        <w:t>se. For this study, I counted affiliat</w:t>
      </w:r>
      <w:r w:rsidRPr="00AA241B">
        <w:rPr>
          <w:sz w:val="22"/>
          <w:szCs w:val="22"/>
        </w:rPr>
        <w:t xml:space="preserve">ed debtors that filed for relief </w:t>
      </w:r>
      <w:r>
        <w:rPr>
          <w:sz w:val="22"/>
          <w:szCs w:val="22"/>
        </w:rPr>
        <w:t xml:space="preserve">on the same day or within several days of each other as a “group.” </w:t>
      </w:r>
      <w:r w:rsidRPr="00AA241B">
        <w:rPr>
          <w:sz w:val="22"/>
          <w:szCs w:val="22"/>
        </w:rPr>
        <w:t xml:space="preserve">I did not count affiliated debtors that filed </w:t>
      </w:r>
      <w:r>
        <w:rPr>
          <w:sz w:val="22"/>
          <w:szCs w:val="22"/>
        </w:rPr>
        <w:t xml:space="preserve">weeks or </w:t>
      </w:r>
      <w:r w:rsidRPr="00AA241B">
        <w:rPr>
          <w:sz w:val="22"/>
          <w:szCs w:val="22"/>
        </w:rPr>
        <w:t xml:space="preserve">months apart as a “group.”  For example, Shore Golf Management filed for chapter 11 on June 23, 2004. </w:t>
      </w:r>
      <w:r w:rsidRPr="00AA241B">
        <w:rPr>
          <w:i/>
          <w:sz w:val="22"/>
          <w:szCs w:val="22"/>
        </w:rPr>
        <w:t xml:space="preserve">See In re Shore Golf Mgt., LLC, </w:t>
      </w:r>
      <w:r w:rsidRPr="00AA241B">
        <w:rPr>
          <w:sz w:val="22"/>
          <w:szCs w:val="22"/>
        </w:rPr>
        <w:t xml:space="preserve">No. 04-04972 (Bankr. E.D. N.C. June 23, 2004). Three affiliates filed for relief under chapter 11 approximately nine months later. At the time of filing, </w:t>
      </w:r>
      <w:r w:rsidRPr="00AA241B">
        <w:rPr>
          <w:i/>
          <w:sz w:val="22"/>
          <w:szCs w:val="22"/>
        </w:rPr>
        <w:t xml:space="preserve">Shore Golf </w:t>
      </w:r>
      <w:r w:rsidRPr="00AA241B">
        <w:rPr>
          <w:sz w:val="22"/>
          <w:szCs w:val="22"/>
        </w:rPr>
        <w:t xml:space="preserve">had liabilities under $2M.  Thus, had BAPCPA’s changes been in effect, </w:t>
      </w:r>
      <w:r w:rsidRPr="00AA241B">
        <w:rPr>
          <w:i/>
          <w:sz w:val="22"/>
          <w:szCs w:val="22"/>
        </w:rPr>
        <w:t xml:space="preserve">Shore Golf </w:t>
      </w:r>
      <w:r w:rsidRPr="00AA241B">
        <w:rPr>
          <w:sz w:val="22"/>
          <w:szCs w:val="22"/>
        </w:rPr>
        <w:t>would have designated itself as a small business and been subject to the Code’s plan-filing requirements</w:t>
      </w:r>
      <w:r>
        <w:rPr>
          <w:sz w:val="22"/>
          <w:szCs w:val="22"/>
        </w:rPr>
        <w:t xml:space="preserve"> at the time of its petition filing</w:t>
      </w:r>
      <w:r w:rsidRPr="00AA241B">
        <w:rPr>
          <w:sz w:val="22"/>
          <w:szCs w:val="22"/>
        </w:rPr>
        <w:t xml:space="preserve">. </w:t>
      </w:r>
    </w:p>
  </w:footnote>
  <w:footnote w:id="62">
    <w:p w:rsidR="00855963" w:rsidRPr="00AA241B" w:rsidRDefault="00855963" w:rsidP="00576BC5">
      <w:pPr>
        <w:pStyle w:val="FootnoteText"/>
        <w:rPr>
          <w:sz w:val="22"/>
          <w:szCs w:val="22"/>
        </w:rPr>
      </w:pPr>
      <w:r w:rsidRPr="00AA241B">
        <w:rPr>
          <w:rStyle w:val="FootnoteReference"/>
          <w:sz w:val="22"/>
          <w:szCs w:val="22"/>
        </w:rPr>
        <w:footnoteRef/>
      </w:r>
      <w:r w:rsidRPr="00AA241B">
        <w:rPr>
          <w:sz w:val="22"/>
          <w:szCs w:val="22"/>
        </w:rPr>
        <w:t xml:space="preserve"> It was not possible to accurately calculate the total number of small business debtors in the Lawton Time study, because debtors without reliable liability information were included in the 799-case sample. </w:t>
      </w:r>
      <w:r w:rsidRPr="00AA241B">
        <w:rPr>
          <w:i/>
          <w:sz w:val="22"/>
          <w:szCs w:val="22"/>
        </w:rPr>
        <w:t xml:space="preserve">See supra </w:t>
      </w:r>
      <w:r w:rsidRPr="00AA241B">
        <w:rPr>
          <w:sz w:val="22"/>
          <w:szCs w:val="22"/>
        </w:rPr>
        <w:t>note 5</w:t>
      </w:r>
      <w:r>
        <w:rPr>
          <w:sz w:val="22"/>
          <w:szCs w:val="22"/>
        </w:rPr>
        <w:t>5</w:t>
      </w:r>
      <w:r w:rsidRPr="00AA241B">
        <w:rPr>
          <w:sz w:val="22"/>
          <w:szCs w:val="22"/>
        </w:rPr>
        <w:t>. Those debtors, however, reached disposition within 345 days and, hence, do not affect the results in Tables III and IV.</w:t>
      </w:r>
    </w:p>
  </w:footnote>
  <w:footnote w:id="63">
    <w:p w:rsidR="00855963" w:rsidRPr="00AA241B" w:rsidRDefault="00855963" w:rsidP="00576BC5">
      <w:pPr>
        <w:pStyle w:val="FootnoteText"/>
        <w:rPr>
          <w:sz w:val="22"/>
          <w:szCs w:val="22"/>
        </w:rPr>
      </w:pPr>
      <w:r w:rsidRPr="00AA241B">
        <w:rPr>
          <w:rStyle w:val="FootnoteReference"/>
          <w:sz w:val="22"/>
          <w:szCs w:val="22"/>
        </w:rPr>
        <w:footnoteRef/>
      </w:r>
      <w:r w:rsidRPr="00AA241B">
        <w:rPr>
          <w:sz w:val="22"/>
          <w:szCs w:val="22"/>
        </w:rPr>
        <w:t xml:space="preserve"> </w:t>
      </w:r>
      <w:r w:rsidRPr="00AA241B">
        <w:rPr>
          <w:i/>
          <w:sz w:val="22"/>
          <w:szCs w:val="22"/>
        </w:rPr>
        <w:t xml:space="preserve">See </w:t>
      </w:r>
      <w:r w:rsidRPr="00AA241B">
        <w:rPr>
          <w:sz w:val="22"/>
          <w:szCs w:val="22"/>
        </w:rPr>
        <w:t xml:space="preserve">Lawton ABI, </w:t>
      </w:r>
      <w:r w:rsidRPr="00AA241B">
        <w:rPr>
          <w:i/>
          <w:sz w:val="22"/>
          <w:szCs w:val="22"/>
        </w:rPr>
        <w:t xml:space="preserve">supra </w:t>
      </w:r>
      <w:r w:rsidRPr="00AA241B">
        <w:rPr>
          <w:sz w:val="22"/>
          <w:szCs w:val="22"/>
        </w:rPr>
        <w:t xml:space="preserve">note 7, at 91, 93 Chart 1 (showing initial success rate of 25.56% for small business debtors). The ABI sample included only 782 debtors, in part, because reliable liability information did not exist for some cases. </w:t>
      </w:r>
      <w:r w:rsidRPr="00AA241B">
        <w:rPr>
          <w:i/>
          <w:sz w:val="22"/>
          <w:szCs w:val="22"/>
        </w:rPr>
        <w:t xml:space="preserve">See supra </w:t>
      </w:r>
      <w:r w:rsidRPr="00AA241B">
        <w:rPr>
          <w:sz w:val="22"/>
          <w:szCs w:val="22"/>
        </w:rPr>
        <w:t xml:space="preserve">note 55. Of the 799 debtors studied in this report, reliable liability information exists for all debtors whose cases remained in chapter 11 after one year. Warren &amp; Westbrook sorted the debtors in their 1994 and 2002 samples using the rough metric of median debt for each year’s sample. They found that the plan-confirmation rate for debtors falling below the median debt level of $643,490 in 1994 was 24.6%, and for those debtors below the median of $1.8 million in 2002 the confirmation rate was only 21.3%. </w:t>
      </w:r>
      <w:r w:rsidRPr="00AA241B">
        <w:rPr>
          <w:i/>
          <w:sz w:val="22"/>
          <w:szCs w:val="22"/>
        </w:rPr>
        <w:t xml:space="preserve">See </w:t>
      </w:r>
      <w:r w:rsidRPr="00AA241B">
        <w:rPr>
          <w:sz w:val="22"/>
          <w:szCs w:val="22"/>
        </w:rPr>
        <w:t xml:space="preserve">Warren and Westbrook, </w:t>
      </w:r>
      <w:r w:rsidRPr="00AA241B">
        <w:rPr>
          <w:i/>
          <w:sz w:val="22"/>
          <w:szCs w:val="22"/>
        </w:rPr>
        <w:t xml:space="preserve">supra </w:t>
      </w:r>
      <w:r w:rsidRPr="00AA241B">
        <w:rPr>
          <w:sz w:val="22"/>
          <w:szCs w:val="22"/>
        </w:rPr>
        <w:t>note 54, at 635-636.</w:t>
      </w:r>
    </w:p>
  </w:footnote>
  <w:footnote w:id="64">
    <w:p w:rsidR="00855963" w:rsidRPr="00AA241B" w:rsidRDefault="00855963" w:rsidP="00576BC5">
      <w:pPr>
        <w:pStyle w:val="FootnoteText"/>
        <w:rPr>
          <w:sz w:val="22"/>
          <w:szCs w:val="22"/>
        </w:rPr>
      </w:pPr>
      <w:r w:rsidRPr="00AA241B">
        <w:rPr>
          <w:rStyle w:val="FootnoteReference"/>
          <w:sz w:val="22"/>
          <w:szCs w:val="22"/>
        </w:rPr>
        <w:footnoteRef/>
      </w:r>
      <w:r w:rsidRPr="00AA241B">
        <w:rPr>
          <w:sz w:val="22"/>
          <w:szCs w:val="22"/>
        </w:rPr>
        <w:t xml:space="preserve"> Warren &amp; Westbrook, </w:t>
      </w:r>
      <w:r w:rsidRPr="00AA241B">
        <w:rPr>
          <w:i/>
          <w:sz w:val="22"/>
          <w:szCs w:val="22"/>
        </w:rPr>
        <w:t xml:space="preserve">supra </w:t>
      </w:r>
      <w:r w:rsidRPr="00AA241B">
        <w:rPr>
          <w:sz w:val="22"/>
          <w:szCs w:val="22"/>
        </w:rPr>
        <w:t>note 54, at 621-22.</w:t>
      </w:r>
    </w:p>
  </w:footnote>
  <w:footnote w:id="65">
    <w:p w:rsidR="00855963" w:rsidRPr="00AA241B" w:rsidRDefault="00855963">
      <w:pPr>
        <w:pStyle w:val="FootnoteText"/>
        <w:rPr>
          <w:sz w:val="22"/>
          <w:szCs w:val="22"/>
        </w:rPr>
      </w:pPr>
      <w:r w:rsidRPr="00AA241B">
        <w:rPr>
          <w:rStyle w:val="FootnoteReference"/>
          <w:sz w:val="22"/>
          <w:szCs w:val="22"/>
        </w:rPr>
        <w:footnoteRef/>
      </w:r>
      <w:r w:rsidRPr="00AA241B">
        <w:rPr>
          <w:sz w:val="22"/>
          <w:szCs w:val="22"/>
        </w:rPr>
        <w:t xml:space="preserve"> These figures are based on liability totals that included liabilities for groups of affiliated debtors. </w:t>
      </w:r>
    </w:p>
  </w:footnote>
  <w:footnote w:id="66">
    <w:p w:rsidR="00855963" w:rsidRPr="00AA241B" w:rsidRDefault="00855963" w:rsidP="00576BC5">
      <w:pPr>
        <w:pStyle w:val="FootnoteText"/>
        <w:rPr>
          <w:sz w:val="22"/>
          <w:szCs w:val="22"/>
        </w:rPr>
      </w:pPr>
      <w:r w:rsidRPr="00AA241B">
        <w:rPr>
          <w:rStyle w:val="FootnoteReference"/>
          <w:sz w:val="22"/>
          <w:szCs w:val="22"/>
        </w:rPr>
        <w:footnoteRef/>
      </w:r>
      <w:r w:rsidRPr="00AA241B">
        <w:rPr>
          <w:sz w:val="22"/>
          <w:szCs w:val="22"/>
        </w:rPr>
        <w:t xml:space="preserve"> There were two other cases with confirmed plans but reliable liability information did not exist for either case. </w:t>
      </w:r>
    </w:p>
  </w:footnote>
  <w:footnote w:id="67">
    <w:p w:rsidR="00855963" w:rsidRPr="00AA241B" w:rsidRDefault="00855963" w:rsidP="00576BC5">
      <w:pPr>
        <w:pStyle w:val="FootnoteText"/>
        <w:rPr>
          <w:sz w:val="22"/>
          <w:szCs w:val="22"/>
        </w:rPr>
      </w:pPr>
      <w:r w:rsidRPr="00AA241B">
        <w:rPr>
          <w:rStyle w:val="FootnoteReference"/>
          <w:sz w:val="22"/>
          <w:szCs w:val="22"/>
        </w:rPr>
        <w:footnoteRef/>
      </w:r>
      <w:r w:rsidRPr="00AA241B">
        <w:rPr>
          <w:sz w:val="22"/>
          <w:szCs w:val="22"/>
        </w:rPr>
        <w:t xml:space="preserve"> </w:t>
      </w:r>
      <w:r w:rsidRPr="00AA241B">
        <w:rPr>
          <w:i/>
          <w:sz w:val="22"/>
          <w:szCs w:val="22"/>
        </w:rPr>
        <w:t xml:space="preserve">See supra </w:t>
      </w:r>
      <w:r w:rsidRPr="00AA241B">
        <w:rPr>
          <w:sz w:val="22"/>
          <w:szCs w:val="22"/>
        </w:rPr>
        <w:t>note 4</w:t>
      </w:r>
      <w:r>
        <w:rPr>
          <w:sz w:val="22"/>
          <w:szCs w:val="22"/>
        </w:rPr>
        <w:t>7</w:t>
      </w:r>
      <w:r w:rsidRPr="00AA241B">
        <w:rPr>
          <w:sz w:val="22"/>
          <w:szCs w:val="22"/>
        </w:rPr>
        <w:t xml:space="preserve"> and accompanying text for cases mandating dismissal for failure to satisfy the 45-day plan-confirmation deadline.</w:t>
      </w:r>
    </w:p>
  </w:footnote>
  <w:footnote w:id="68">
    <w:p w:rsidR="00855963" w:rsidRPr="00AA241B" w:rsidRDefault="00855963" w:rsidP="00576BC5">
      <w:pPr>
        <w:pStyle w:val="FootnoteText"/>
        <w:rPr>
          <w:sz w:val="22"/>
          <w:szCs w:val="22"/>
        </w:rPr>
      </w:pPr>
      <w:r w:rsidRPr="00AA241B">
        <w:rPr>
          <w:rStyle w:val="FootnoteReference"/>
          <w:sz w:val="22"/>
          <w:szCs w:val="22"/>
        </w:rPr>
        <w:footnoteRef/>
      </w:r>
      <w:r w:rsidRPr="00AA241B">
        <w:rPr>
          <w:sz w:val="22"/>
          <w:szCs w:val="22"/>
        </w:rPr>
        <w:t xml:space="preserve"> </w:t>
      </w:r>
      <w:r>
        <w:rPr>
          <w:sz w:val="22"/>
          <w:szCs w:val="22"/>
        </w:rPr>
        <w:t xml:space="preserve">I currently am </w:t>
      </w:r>
      <w:r w:rsidRPr="00AA241B">
        <w:rPr>
          <w:sz w:val="22"/>
          <w:szCs w:val="22"/>
        </w:rPr>
        <w:t>working on coding and analyzing a random sample of approximately 765 debtors drawn from all chapter 11 cases (637</w:t>
      </w:r>
      <w:r>
        <w:rPr>
          <w:sz w:val="22"/>
          <w:szCs w:val="22"/>
        </w:rPr>
        <w:t>6</w:t>
      </w:r>
      <w:r w:rsidRPr="00AA241B">
        <w:rPr>
          <w:sz w:val="22"/>
          <w:szCs w:val="22"/>
        </w:rPr>
        <w:t xml:space="preserve">) filed in calendar year 2007. </w:t>
      </w:r>
    </w:p>
  </w:footnote>
  <w:footnote w:id="69">
    <w:p w:rsidR="00855963" w:rsidRPr="00AA241B" w:rsidRDefault="00855963" w:rsidP="00576BC5">
      <w:pPr>
        <w:pStyle w:val="FootnoteText"/>
        <w:rPr>
          <w:sz w:val="22"/>
          <w:szCs w:val="22"/>
        </w:rPr>
      </w:pPr>
      <w:r w:rsidRPr="00AA241B">
        <w:rPr>
          <w:rStyle w:val="FootnoteReference"/>
          <w:sz w:val="22"/>
          <w:szCs w:val="22"/>
        </w:rPr>
        <w:footnoteRef/>
      </w:r>
      <w:r w:rsidRPr="00AA241B">
        <w:rPr>
          <w:sz w:val="22"/>
          <w:szCs w:val="22"/>
        </w:rPr>
        <w:t xml:space="preserve"> </w:t>
      </w:r>
      <w:r w:rsidRPr="00AA241B">
        <w:rPr>
          <w:i/>
          <w:sz w:val="22"/>
          <w:szCs w:val="22"/>
        </w:rPr>
        <w:t xml:space="preserve">See </w:t>
      </w:r>
      <w:r w:rsidRPr="00AA241B">
        <w:rPr>
          <w:sz w:val="22"/>
          <w:szCs w:val="22"/>
        </w:rPr>
        <w:t xml:space="preserve">ABI Meeting, </w:t>
      </w:r>
      <w:r w:rsidRPr="00AA241B">
        <w:rPr>
          <w:i/>
          <w:sz w:val="22"/>
          <w:szCs w:val="22"/>
        </w:rPr>
        <w:t xml:space="preserve">supra </w:t>
      </w:r>
      <w:r w:rsidRPr="00AA241B">
        <w:rPr>
          <w:sz w:val="22"/>
          <w:szCs w:val="22"/>
        </w:rPr>
        <w:t xml:space="preserve">note </w:t>
      </w:r>
      <w:r w:rsidR="00BE7098">
        <w:rPr>
          <w:sz w:val="22"/>
          <w:szCs w:val="22"/>
        </w:rPr>
        <w:t>39</w:t>
      </w:r>
      <w:r w:rsidRPr="00AA241B">
        <w:rPr>
          <w:sz w:val="22"/>
          <w:szCs w:val="22"/>
        </w:rPr>
        <w:t>, at 21-22 (testimony of the Honorable Dennis Dow) (asking whether the 45-day period “serves any useful purpose” and stating that “the mere lapse of time between the date on which the plan is filed and its confirmation is not particularly relevant”).</w:t>
      </w:r>
    </w:p>
  </w:footnote>
  <w:footnote w:id="70">
    <w:p w:rsidR="00855963" w:rsidRPr="00AA241B" w:rsidRDefault="00855963" w:rsidP="00576BC5">
      <w:pPr>
        <w:pStyle w:val="FootnoteText"/>
        <w:rPr>
          <w:sz w:val="22"/>
          <w:szCs w:val="22"/>
        </w:rPr>
      </w:pPr>
      <w:r w:rsidRPr="00AA241B">
        <w:rPr>
          <w:rStyle w:val="FootnoteReference"/>
          <w:sz w:val="22"/>
          <w:szCs w:val="22"/>
        </w:rPr>
        <w:footnoteRef/>
      </w:r>
      <w:r w:rsidRPr="00AA241B">
        <w:rPr>
          <w:sz w:val="22"/>
          <w:szCs w:val="22"/>
        </w:rPr>
        <w:t xml:space="preserve"> </w:t>
      </w:r>
      <w:r w:rsidRPr="00AA241B">
        <w:rPr>
          <w:i/>
          <w:sz w:val="22"/>
          <w:szCs w:val="22"/>
        </w:rPr>
        <w:t>See id.</w:t>
      </w:r>
      <w:r w:rsidRPr="00AA241B">
        <w:rPr>
          <w:sz w:val="22"/>
          <w:szCs w:val="22"/>
        </w:rPr>
        <w:t xml:space="preserve"> at 22 (testimony of the Honorable Dennis Dow) (suggesting “an absolute limitation on the date of filing or confirmation would be better designed to achieve this objective”).</w:t>
      </w:r>
    </w:p>
  </w:footnote>
  <w:footnote w:id="71">
    <w:p w:rsidR="00855963" w:rsidRPr="003172B0" w:rsidRDefault="00855963" w:rsidP="005B6F4A">
      <w:pPr>
        <w:pStyle w:val="FootnoteText"/>
        <w:rPr>
          <w:sz w:val="22"/>
          <w:szCs w:val="22"/>
        </w:rPr>
      </w:pPr>
      <w:r>
        <w:rPr>
          <w:rStyle w:val="FootnoteReference"/>
        </w:rPr>
        <w:footnoteRef/>
      </w:r>
      <w:r>
        <w:t xml:space="preserve"> </w:t>
      </w:r>
      <w:r w:rsidRPr="003172B0">
        <w:rPr>
          <w:sz w:val="22"/>
          <w:szCs w:val="22"/>
        </w:rPr>
        <w:t xml:space="preserve">Warren &amp; Westbrook, </w:t>
      </w:r>
      <w:r w:rsidRPr="003172B0">
        <w:rPr>
          <w:i/>
          <w:sz w:val="22"/>
          <w:szCs w:val="22"/>
        </w:rPr>
        <w:t xml:space="preserve">supra </w:t>
      </w:r>
      <w:r w:rsidRPr="003172B0">
        <w:rPr>
          <w:sz w:val="22"/>
          <w:szCs w:val="22"/>
        </w:rPr>
        <w:t>note 5</w:t>
      </w:r>
      <w:r w:rsidR="003172B0">
        <w:rPr>
          <w:sz w:val="22"/>
          <w:szCs w:val="22"/>
        </w:rPr>
        <w:t>4</w:t>
      </w:r>
      <w:r w:rsidRPr="003172B0">
        <w:rPr>
          <w:sz w:val="22"/>
          <w:szCs w:val="22"/>
        </w:rPr>
        <w:t>, at 639.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B3002"/>
    <w:multiLevelType w:val="hybridMultilevel"/>
    <w:tmpl w:val="F444863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EC712C"/>
    <w:multiLevelType w:val="hybridMultilevel"/>
    <w:tmpl w:val="04C6A198"/>
    <w:lvl w:ilvl="0" w:tplc="04090011">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2">
    <w:nsid w:val="5EF81729"/>
    <w:multiLevelType w:val="hybridMultilevel"/>
    <w:tmpl w:val="ACB059B8"/>
    <w:lvl w:ilvl="0" w:tplc="51766D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7085FD6"/>
    <w:multiLevelType w:val="hybridMultilevel"/>
    <w:tmpl w:val="CB7E2B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5A1"/>
    <w:rsid w:val="00001FA4"/>
    <w:rsid w:val="000F2478"/>
    <w:rsid w:val="0010404A"/>
    <w:rsid w:val="001110C9"/>
    <w:rsid w:val="001757EB"/>
    <w:rsid w:val="002350C9"/>
    <w:rsid w:val="002612DA"/>
    <w:rsid w:val="002624F9"/>
    <w:rsid w:val="0027061B"/>
    <w:rsid w:val="00292FDE"/>
    <w:rsid w:val="002F5512"/>
    <w:rsid w:val="00301D30"/>
    <w:rsid w:val="003172B0"/>
    <w:rsid w:val="003345AB"/>
    <w:rsid w:val="003425A1"/>
    <w:rsid w:val="00343CBE"/>
    <w:rsid w:val="00394710"/>
    <w:rsid w:val="003D2739"/>
    <w:rsid w:val="00417A57"/>
    <w:rsid w:val="00482403"/>
    <w:rsid w:val="00490BB0"/>
    <w:rsid w:val="00496B27"/>
    <w:rsid w:val="004A02BD"/>
    <w:rsid w:val="004C4078"/>
    <w:rsid w:val="004E6C78"/>
    <w:rsid w:val="0056261C"/>
    <w:rsid w:val="00564343"/>
    <w:rsid w:val="00576BC5"/>
    <w:rsid w:val="0058443E"/>
    <w:rsid w:val="005B6F4A"/>
    <w:rsid w:val="005E763C"/>
    <w:rsid w:val="0060555C"/>
    <w:rsid w:val="006266E5"/>
    <w:rsid w:val="00632501"/>
    <w:rsid w:val="00667547"/>
    <w:rsid w:val="00680FBA"/>
    <w:rsid w:val="00696CAD"/>
    <w:rsid w:val="006F3F72"/>
    <w:rsid w:val="007359D5"/>
    <w:rsid w:val="0075643B"/>
    <w:rsid w:val="00775CCF"/>
    <w:rsid w:val="007936D9"/>
    <w:rsid w:val="007A0932"/>
    <w:rsid w:val="007F1AC5"/>
    <w:rsid w:val="00810273"/>
    <w:rsid w:val="008267D3"/>
    <w:rsid w:val="008442D6"/>
    <w:rsid w:val="00850BB0"/>
    <w:rsid w:val="00855963"/>
    <w:rsid w:val="00886584"/>
    <w:rsid w:val="008B2B0F"/>
    <w:rsid w:val="008E34EE"/>
    <w:rsid w:val="009412DD"/>
    <w:rsid w:val="009832BB"/>
    <w:rsid w:val="009B775B"/>
    <w:rsid w:val="009C4743"/>
    <w:rsid w:val="00A114B5"/>
    <w:rsid w:val="00A6540D"/>
    <w:rsid w:val="00AA241B"/>
    <w:rsid w:val="00AE56EB"/>
    <w:rsid w:val="00BB49E1"/>
    <w:rsid w:val="00BD375B"/>
    <w:rsid w:val="00BE7098"/>
    <w:rsid w:val="00C67E83"/>
    <w:rsid w:val="00C83A6F"/>
    <w:rsid w:val="00CC249E"/>
    <w:rsid w:val="00CF43BE"/>
    <w:rsid w:val="00D31400"/>
    <w:rsid w:val="00DD2DA6"/>
    <w:rsid w:val="00E12631"/>
    <w:rsid w:val="00E677C6"/>
    <w:rsid w:val="00F35716"/>
    <w:rsid w:val="00F85CE1"/>
    <w:rsid w:val="00F87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576BC5"/>
    <w:pPr>
      <w:spacing w:after="0" w:line="240" w:lineRule="auto"/>
      <w:jc w:val="both"/>
    </w:pPr>
    <w:rPr>
      <w:rFonts w:eastAsiaTheme="minorEastAsia" w:cs="Times New Roman"/>
      <w:color w:val="000000" w:themeColor="text1"/>
    </w:rPr>
  </w:style>
  <w:style w:type="character" w:customStyle="1" w:styleId="FootnoteTextChar">
    <w:name w:val="Footnote Text Char"/>
    <w:basedOn w:val="DefaultParagraphFont"/>
    <w:link w:val="FootnoteText"/>
    <w:uiPriority w:val="99"/>
    <w:rsid w:val="00576BC5"/>
    <w:rPr>
      <w:rFonts w:eastAsiaTheme="minorEastAsia" w:cs="Times New Roman"/>
      <w:color w:val="000000" w:themeColor="text1"/>
    </w:rPr>
  </w:style>
  <w:style w:type="character" w:styleId="FootnoteReference">
    <w:name w:val="footnote reference"/>
    <w:basedOn w:val="DefaultParagraphFont"/>
    <w:uiPriority w:val="99"/>
    <w:unhideWhenUsed/>
    <w:rsid w:val="00AE56EB"/>
    <w:rPr>
      <w:vertAlign w:val="superscript"/>
    </w:rPr>
  </w:style>
  <w:style w:type="paragraph" w:styleId="ListParagraph">
    <w:name w:val="List Paragraph"/>
    <w:basedOn w:val="Normal"/>
    <w:uiPriority w:val="34"/>
    <w:qFormat/>
    <w:rsid w:val="009B775B"/>
    <w:pPr>
      <w:spacing w:after="0" w:line="240" w:lineRule="auto"/>
      <w:ind w:left="720"/>
      <w:contextualSpacing/>
    </w:pPr>
    <w:rPr>
      <w:rFonts w:asciiTheme="minorHAnsi" w:eastAsiaTheme="minorEastAsia" w:hAnsiTheme="minorHAnsi"/>
    </w:rPr>
  </w:style>
  <w:style w:type="table" w:styleId="TableGrid">
    <w:name w:val="Table Grid"/>
    <w:basedOn w:val="TableNormal"/>
    <w:uiPriority w:val="59"/>
    <w:rsid w:val="009B775B"/>
    <w:pPr>
      <w:spacing w:after="0" w:line="240" w:lineRule="auto"/>
    </w:pPr>
    <w:rPr>
      <w:rFonts w:asciiTheme="minorHAnsi" w:eastAsia="SimSun"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6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BC5"/>
    <w:rPr>
      <w:rFonts w:ascii="Tahoma" w:hAnsi="Tahoma" w:cs="Tahoma"/>
      <w:sz w:val="16"/>
      <w:szCs w:val="16"/>
    </w:rPr>
  </w:style>
  <w:style w:type="paragraph" w:customStyle="1" w:styleId="Default">
    <w:name w:val="Default"/>
    <w:rsid w:val="00886584"/>
    <w:pPr>
      <w:autoSpaceDE w:val="0"/>
      <w:autoSpaceDN w:val="0"/>
      <w:adjustRightInd w:val="0"/>
      <w:spacing w:after="0" w:line="240" w:lineRule="auto"/>
    </w:pPr>
    <w:rPr>
      <w:rFonts w:ascii="Times New Roman" w:eastAsiaTheme="minorEastAsia" w:hAnsi="Times New Roman" w:cs="Times New Roman"/>
      <w:color w:val="000000"/>
    </w:rPr>
  </w:style>
  <w:style w:type="paragraph" w:styleId="Header">
    <w:name w:val="header"/>
    <w:basedOn w:val="Normal"/>
    <w:link w:val="HeaderChar"/>
    <w:uiPriority w:val="99"/>
    <w:unhideWhenUsed/>
    <w:rsid w:val="00417A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A57"/>
  </w:style>
  <w:style w:type="paragraph" w:styleId="Footer">
    <w:name w:val="footer"/>
    <w:basedOn w:val="Normal"/>
    <w:link w:val="FooterChar"/>
    <w:uiPriority w:val="99"/>
    <w:unhideWhenUsed/>
    <w:rsid w:val="00417A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A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576BC5"/>
    <w:pPr>
      <w:spacing w:after="0" w:line="240" w:lineRule="auto"/>
      <w:jc w:val="both"/>
    </w:pPr>
    <w:rPr>
      <w:rFonts w:eastAsiaTheme="minorEastAsia" w:cs="Times New Roman"/>
      <w:color w:val="000000" w:themeColor="text1"/>
    </w:rPr>
  </w:style>
  <w:style w:type="character" w:customStyle="1" w:styleId="FootnoteTextChar">
    <w:name w:val="Footnote Text Char"/>
    <w:basedOn w:val="DefaultParagraphFont"/>
    <w:link w:val="FootnoteText"/>
    <w:uiPriority w:val="99"/>
    <w:rsid w:val="00576BC5"/>
    <w:rPr>
      <w:rFonts w:eastAsiaTheme="minorEastAsia" w:cs="Times New Roman"/>
      <w:color w:val="000000" w:themeColor="text1"/>
    </w:rPr>
  </w:style>
  <w:style w:type="character" w:styleId="FootnoteReference">
    <w:name w:val="footnote reference"/>
    <w:basedOn w:val="DefaultParagraphFont"/>
    <w:uiPriority w:val="99"/>
    <w:unhideWhenUsed/>
    <w:rsid w:val="00AE56EB"/>
    <w:rPr>
      <w:vertAlign w:val="superscript"/>
    </w:rPr>
  </w:style>
  <w:style w:type="paragraph" w:styleId="ListParagraph">
    <w:name w:val="List Paragraph"/>
    <w:basedOn w:val="Normal"/>
    <w:uiPriority w:val="34"/>
    <w:qFormat/>
    <w:rsid w:val="009B775B"/>
    <w:pPr>
      <w:spacing w:after="0" w:line="240" w:lineRule="auto"/>
      <w:ind w:left="720"/>
      <w:contextualSpacing/>
    </w:pPr>
    <w:rPr>
      <w:rFonts w:asciiTheme="minorHAnsi" w:eastAsiaTheme="minorEastAsia" w:hAnsiTheme="minorHAnsi"/>
    </w:rPr>
  </w:style>
  <w:style w:type="table" w:styleId="TableGrid">
    <w:name w:val="Table Grid"/>
    <w:basedOn w:val="TableNormal"/>
    <w:uiPriority w:val="59"/>
    <w:rsid w:val="009B775B"/>
    <w:pPr>
      <w:spacing w:after="0" w:line="240" w:lineRule="auto"/>
    </w:pPr>
    <w:rPr>
      <w:rFonts w:asciiTheme="minorHAnsi" w:eastAsia="SimSun"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6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BC5"/>
    <w:rPr>
      <w:rFonts w:ascii="Tahoma" w:hAnsi="Tahoma" w:cs="Tahoma"/>
      <w:sz w:val="16"/>
      <w:szCs w:val="16"/>
    </w:rPr>
  </w:style>
  <w:style w:type="paragraph" w:customStyle="1" w:styleId="Default">
    <w:name w:val="Default"/>
    <w:rsid w:val="00886584"/>
    <w:pPr>
      <w:autoSpaceDE w:val="0"/>
      <w:autoSpaceDN w:val="0"/>
      <w:adjustRightInd w:val="0"/>
      <w:spacing w:after="0" w:line="240" w:lineRule="auto"/>
    </w:pPr>
    <w:rPr>
      <w:rFonts w:ascii="Times New Roman" w:eastAsiaTheme="minorEastAsia" w:hAnsi="Times New Roman" w:cs="Times New Roman"/>
      <w:color w:val="000000"/>
    </w:rPr>
  </w:style>
  <w:style w:type="paragraph" w:styleId="Header">
    <w:name w:val="header"/>
    <w:basedOn w:val="Normal"/>
    <w:link w:val="HeaderChar"/>
    <w:uiPriority w:val="99"/>
    <w:unhideWhenUsed/>
    <w:rsid w:val="00417A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A57"/>
  </w:style>
  <w:style w:type="paragraph" w:styleId="Footer">
    <w:name w:val="footer"/>
    <w:basedOn w:val="Normal"/>
    <w:link w:val="FooterChar"/>
    <w:uiPriority w:val="99"/>
    <w:unhideWhenUsed/>
    <w:rsid w:val="00417A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1EFD8-0193-4C39-A4D0-5AD80191C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6808</Words>
  <Characters>38812</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alawton</dc:creator>
  <cp:lastModifiedBy>alawton</cp:lastModifiedBy>
  <cp:revision>2</cp:revision>
  <cp:lastPrinted>2013-10-25T19:38:00Z</cp:lastPrinted>
  <dcterms:created xsi:type="dcterms:W3CDTF">2013-10-25T20:25:00Z</dcterms:created>
  <dcterms:modified xsi:type="dcterms:W3CDTF">2013-10-25T20:25:00Z</dcterms:modified>
</cp:coreProperties>
</file>