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6"/>
          <w:sz-cs w:val="36"/>
        </w:rPr>
        <w:t xml:space="preserve">ABI Commission to Study the Reform of Chapter 11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Public Field Hearing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Friday, October 26, 2012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2:30 to 4:30 p.m.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Witness List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Panel 1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Hon. Eugene R. Wedoff (N.D. Ill; Chicago)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Panel 2 (on Sales in Chapter 11)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Bryan P. Marsal (Alvarez &amp; Marsal; New York)</w:t>
      </w:r>
    </w:p>
    <w:p>
      <w:pPr/>
      <w:r>
        <w:rPr>
          <w:rFonts w:ascii="Times" w:hAnsi="Times" w:cs="Times"/>
          <w:sz w:val="28"/>
          <w:sz-cs w:val="28"/>
        </w:rPr>
        <w:t xml:space="preserve">Michael P. Richman (Hunton &amp; Williams LLP; New York)</w:t>
      </w:r>
    </w:p>
    <w:p>
      <w:pPr/>
      <w:r>
        <w:rPr>
          <w:rFonts w:ascii="Times" w:hAnsi="Times" w:cs="Times"/>
          <w:sz w:val="28"/>
          <w:sz-cs w:val="28"/>
        </w:rPr>
        <w:t xml:space="preserve">Brad B. Erens (Jones Day; Chicago)</w:t>
      </w:r>
    </w:p>
    <w:p>
      <w:pPr/>
      <w:r>
        <w:rPr>
          <w:rFonts w:ascii="Times" w:hAnsi="Times" w:cs="Times"/>
          <w:sz w:val="28"/>
          <w:sz-cs w:val="28"/>
        </w:rPr>
        <w:t xml:space="preserve">Craig Goldblatt (Wilmer Hale; Washington, D.C.)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Panel 3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Howard Brod Brownstein (The Brownstein Corp.; Conshohocken, Pa)</w:t>
      </w:r>
    </w:p>
    <w:p>
      <w:pPr/>
      <w:r>
        <w:rPr>
          <w:rFonts w:ascii="Times" w:hAnsi="Times" w:cs="Times"/>
          <w:sz w:val="28"/>
          <w:sz-cs w:val="28"/>
        </w:rPr>
        <w:t xml:space="preserve">John Collen (Tressler, LLP; Chicago)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Gerdano</dc:creator>
</cp:coreProperties>
</file>

<file path=docProps/meta.xml><?xml version="1.0" encoding="utf-8"?>
<meta xmlns="http://schemas.apple.com/cocoa/2006/metadata">
  <generator>CocoaOOXMLWriter/1138.51</generator>
</meta>
</file>